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DB" w:rsidRPr="00AF3035" w:rsidRDefault="001232DB" w:rsidP="001232DB">
      <w:pPr>
        <w:pStyle w:val="D-za-auth-info"/>
        <w:tabs>
          <w:tab w:val="left" w:pos="9000"/>
        </w:tabs>
        <w:spacing w:after="0" w:line="360" w:lineRule="auto"/>
        <w:ind w:right="0"/>
        <w:rPr>
          <w:rFonts w:ascii="Times New Roman" w:hAnsi="Times New Roman"/>
          <w:i w:val="0"/>
          <w:sz w:val="24"/>
          <w:szCs w:val="24"/>
          <w:lang w:val="en-US"/>
        </w:rPr>
      </w:pPr>
      <w:r w:rsidRPr="000763AC">
        <w:rPr>
          <w:rFonts w:ascii="Times New Roman" w:hAnsi="Times New Roman"/>
          <w:i w:val="0"/>
          <w:sz w:val="24"/>
          <w:szCs w:val="24"/>
          <w:lang w:val="en-US"/>
        </w:rPr>
        <w:t>SHORT COMMUNICATION</w:t>
      </w:r>
    </w:p>
    <w:p w:rsidR="001232DB" w:rsidRPr="00532F83" w:rsidRDefault="001232DB" w:rsidP="001232DB">
      <w:pPr>
        <w:pStyle w:val="D-za-auth-info"/>
        <w:tabs>
          <w:tab w:val="left" w:pos="9000"/>
        </w:tabs>
        <w:spacing w:after="0" w:line="360" w:lineRule="auto"/>
        <w:ind w:right="0"/>
        <w:jc w:val="center"/>
        <w:rPr>
          <w:rFonts w:ascii="Times New Roman" w:hAnsi="Times New Roman"/>
          <w:b/>
          <w:i w:val="0"/>
          <w:sz w:val="28"/>
          <w:szCs w:val="28"/>
          <w:lang w:val="en-US"/>
        </w:rPr>
      </w:pPr>
      <w:r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>Functional</w:t>
      </w:r>
      <w:r w:rsidRPr="00AF3035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 </w:t>
      </w:r>
      <w:r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activity of aryl hydrocarbon receptor in human </w:t>
      </w:r>
      <w:proofErr w:type="spellStart"/>
      <w:r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>osteosarcoma</w:t>
      </w:r>
      <w:proofErr w:type="spellEnd"/>
      <w:r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 cell cultures</w:t>
      </w:r>
    </w:p>
    <w:p w:rsidR="001232DB" w:rsidRPr="0071070E" w:rsidRDefault="001232DB" w:rsidP="001232DB">
      <w:pPr>
        <w:pStyle w:val="D-za-auth-info"/>
        <w:tabs>
          <w:tab w:val="left" w:pos="9000"/>
        </w:tabs>
        <w:spacing w:after="0" w:line="360" w:lineRule="auto"/>
        <w:ind w:right="0"/>
        <w:jc w:val="center"/>
        <w:rPr>
          <w:rFonts w:ascii="Times New Roman" w:hAnsi="Times New Roman"/>
          <w:b/>
          <w:i w:val="0"/>
          <w:sz w:val="24"/>
          <w:szCs w:val="24"/>
          <w:lang w:val="en-US"/>
        </w:rPr>
      </w:pP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Yu.E</w:t>
      </w:r>
      <w:proofErr w:type="spellEnd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Vorontsova</w:t>
      </w:r>
      <w:proofErr w:type="spellEnd"/>
      <w:r w:rsidRPr="00E5337B">
        <w:rPr>
          <w:rFonts w:ascii="Times New Roman" w:hAnsi="Times New Roman"/>
          <w:b/>
          <w:i w:val="0"/>
          <w:sz w:val="24"/>
          <w:szCs w:val="24"/>
          <w:vertAlign w:val="superscript"/>
          <w:lang w:val="en-US"/>
        </w:rPr>
        <w:t>*</w:t>
      </w:r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, A.A.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Akishina</w:t>
      </w:r>
      <w:proofErr w:type="spellEnd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, R.O.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Cherezov</w:t>
      </w:r>
      <w:proofErr w:type="spellEnd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, O.B.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Simonova</w:t>
      </w:r>
      <w:proofErr w:type="spellEnd"/>
    </w:p>
    <w:p w:rsidR="001232DB" w:rsidRPr="0071070E" w:rsidRDefault="001232DB" w:rsidP="001232DB">
      <w:pPr>
        <w:pStyle w:val="D-za-auth-info"/>
        <w:tabs>
          <w:tab w:val="left" w:pos="9000"/>
        </w:tabs>
        <w:spacing w:after="0" w:line="360" w:lineRule="auto"/>
        <w:ind w:right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1070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Koltzov</w:t>
      </w:r>
      <w:proofErr w:type="spellEnd"/>
      <w:r w:rsidRPr="0071070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Institute of Developmental Biology of Russian Academy of Sciences, </w:t>
      </w:r>
      <w:r w:rsidRPr="0071070E">
        <w:rPr>
          <w:rFonts w:ascii="Times New Roman" w:hAnsi="Times New Roman"/>
          <w:sz w:val="24"/>
          <w:szCs w:val="24"/>
          <w:lang w:val="en-US"/>
        </w:rPr>
        <w:t xml:space="preserve">Russia, 119334, Moscow, </w:t>
      </w:r>
      <w:proofErr w:type="spellStart"/>
      <w:r w:rsidRPr="0071070E">
        <w:rPr>
          <w:rFonts w:ascii="Times New Roman" w:hAnsi="Times New Roman"/>
          <w:sz w:val="24"/>
          <w:szCs w:val="24"/>
          <w:lang w:val="en-US"/>
        </w:rPr>
        <w:t>Vavilov</w:t>
      </w:r>
      <w:proofErr w:type="spellEnd"/>
      <w:r w:rsidRPr="0071070E">
        <w:rPr>
          <w:rFonts w:ascii="Times New Roman" w:hAnsi="Times New Roman"/>
          <w:sz w:val="24"/>
          <w:szCs w:val="24"/>
          <w:lang w:val="en-US"/>
        </w:rPr>
        <w:t xml:space="preserve"> Street, 26.</w:t>
      </w:r>
    </w:p>
    <w:p w:rsidR="001232DB" w:rsidRPr="0071070E" w:rsidRDefault="001232DB" w:rsidP="001232DB">
      <w:pPr>
        <w:spacing w:line="360" w:lineRule="auto"/>
        <w:jc w:val="center"/>
        <w:rPr>
          <w:lang w:val="en-US"/>
        </w:rPr>
      </w:pPr>
      <w:r w:rsidRPr="008C0969">
        <w:rPr>
          <w:vertAlign w:val="superscript"/>
          <w:lang w:val="en-US"/>
        </w:rPr>
        <w:t>*</w:t>
      </w:r>
      <w:r w:rsidRPr="0071070E">
        <w:rPr>
          <w:i/>
          <w:lang w:val="en-US"/>
        </w:rPr>
        <w:t>e-mail: vorontsova@idbras.ru</w:t>
      </w:r>
    </w:p>
    <w:p w:rsidR="001232DB" w:rsidRPr="001232DB" w:rsidRDefault="001232DB" w:rsidP="001232DB">
      <w:pPr>
        <w:spacing w:line="360" w:lineRule="auto"/>
        <w:jc w:val="center"/>
        <w:rPr>
          <w:lang w:val="en-US"/>
        </w:rPr>
      </w:pPr>
      <w:r w:rsidRPr="001232DB">
        <w:rPr>
          <w:lang w:val="en-US"/>
        </w:rPr>
        <w:t>ORCID</w:t>
      </w:r>
      <w:r>
        <w:rPr>
          <w:lang w:val="en-US"/>
        </w:rPr>
        <w:t xml:space="preserve"> (</w:t>
      </w:r>
      <w:proofErr w:type="spellStart"/>
      <w:r w:rsidRPr="00487BB2">
        <w:rPr>
          <w:lang w:val="en-US"/>
        </w:rPr>
        <w:t>Vorontsova</w:t>
      </w:r>
      <w:proofErr w:type="spellEnd"/>
      <w:r>
        <w:rPr>
          <w:lang w:val="en-US"/>
        </w:rPr>
        <w:t>)</w:t>
      </w:r>
      <w:r w:rsidRPr="001232DB">
        <w:rPr>
          <w:lang w:val="en-US"/>
        </w:rPr>
        <w:t xml:space="preserve"> </w:t>
      </w:r>
      <w:r w:rsidR="007F5437" w:rsidRPr="007F5437">
        <w:rPr>
          <w:lang w:val="en-US"/>
        </w:rPr>
        <w:t>https://orcid.org/</w:t>
      </w:r>
      <w:r w:rsidRPr="001232DB">
        <w:rPr>
          <w:lang w:val="en-US"/>
        </w:rPr>
        <w:t>0000-0002-3378-1515</w:t>
      </w:r>
    </w:p>
    <w:p w:rsidR="001232DB" w:rsidRPr="001232DB" w:rsidRDefault="001232DB" w:rsidP="001232DB">
      <w:pPr>
        <w:spacing w:line="360" w:lineRule="auto"/>
        <w:jc w:val="center"/>
        <w:rPr>
          <w:lang w:val="en-US"/>
        </w:rPr>
      </w:pPr>
      <w:r w:rsidRPr="001232DB">
        <w:rPr>
          <w:lang w:val="en-US"/>
        </w:rPr>
        <w:t>ORCID</w:t>
      </w:r>
      <w:r>
        <w:rPr>
          <w:lang w:val="en-US"/>
        </w:rPr>
        <w:t xml:space="preserve"> (</w:t>
      </w:r>
      <w:proofErr w:type="spellStart"/>
      <w:r w:rsidRPr="00487BB2">
        <w:rPr>
          <w:lang w:val="en-US"/>
        </w:rPr>
        <w:t>Akishina</w:t>
      </w:r>
      <w:proofErr w:type="spellEnd"/>
      <w:r>
        <w:rPr>
          <w:lang w:val="en-US"/>
        </w:rPr>
        <w:t>)</w:t>
      </w:r>
      <w:r w:rsidRPr="001232DB">
        <w:rPr>
          <w:lang w:val="en-US"/>
        </w:rPr>
        <w:t xml:space="preserve"> </w:t>
      </w:r>
      <w:r w:rsidR="007F5437" w:rsidRPr="007F5437">
        <w:rPr>
          <w:lang w:val="en-US"/>
        </w:rPr>
        <w:t>https://orcid.org/</w:t>
      </w:r>
      <w:r w:rsidRPr="001232DB">
        <w:rPr>
          <w:lang w:val="en-US"/>
        </w:rPr>
        <w:t>0000-0002-3428-7287</w:t>
      </w:r>
    </w:p>
    <w:p w:rsidR="001232DB" w:rsidRPr="001232DB" w:rsidRDefault="001232DB" w:rsidP="001232DB">
      <w:pPr>
        <w:pStyle w:val="D-za-auth-info"/>
        <w:tabs>
          <w:tab w:val="left" w:pos="9000"/>
        </w:tabs>
        <w:ind w:right="70"/>
        <w:jc w:val="both"/>
        <w:rPr>
          <w:rFonts w:ascii="PT Serif" w:hAnsi="PT Serif" w:cs="Arial"/>
          <w:lang w:val="en-US"/>
        </w:rPr>
      </w:pPr>
    </w:p>
    <w:p w:rsidR="001232DB" w:rsidRPr="00EE5949" w:rsidRDefault="001232DB" w:rsidP="001232DB">
      <w:pPr>
        <w:autoSpaceDE w:val="0"/>
        <w:autoSpaceDN w:val="0"/>
        <w:adjustRightInd w:val="0"/>
        <w:spacing w:line="360" w:lineRule="auto"/>
        <w:jc w:val="both"/>
        <w:rPr>
          <w:i/>
          <w:lang w:val="en-US"/>
        </w:rPr>
      </w:pPr>
      <w:proofErr w:type="spellStart"/>
      <w:r w:rsidRPr="00EE5949">
        <w:rPr>
          <w:lang w:val="en-US"/>
        </w:rPr>
        <w:t>Osteosarcoma</w:t>
      </w:r>
      <w:proofErr w:type="spellEnd"/>
      <w:r w:rsidRPr="00EE5949">
        <w:rPr>
          <w:lang w:val="en-US"/>
        </w:rPr>
        <w:t xml:space="preserve"> is the most prevalent bone malignant tumor with a high mortality rate among children</w:t>
      </w:r>
      <w:r>
        <w:rPr>
          <w:lang w:val="en-US"/>
        </w:rPr>
        <w:t xml:space="preserve"> </w:t>
      </w:r>
      <w:r w:rsidRPr="00EE5949">
        <w:rPr>
          <w:lang w:val="en-US"/>
        </w:rPr>
        <w:t xml:space="preserve">and adolescents. </w:t>
      </w:r>
      <w:r w:rsidRPr="00532F83">
        <w:rPr>
          <w:lang w:val="en-US"/>
        </w:rPr>
        <w:t xml:space="preserve">The aryl hydrocarbon receptor (AHR) is a </w:t>
      </w:r>
      <w:proofErr w:type="spellStart"/>
      <w:r w:rsidRPr="00532F83">
        <w:rPr>
          <w:lang w:val="en-US"/>
        </w:rPr>
        <w:t>ligand</w:t>
      </w:r>
      <w:proofErr w:type="spellEnd"/>
      <w:r w:rsidRPr="00532F83">
        <w:rPr>
          <w:lang w:val="en-US"/>
        </w:rPr>
        <w:t xml:space="preserve">-dependent transcription factor associated with </w:t>
      </w:r>
      <w:proofErr w:type="spellStart"/>
      <w:r w:rsidRPr="00532F83">
        <w:rPr>
          <w:lang w:val="en-US"/>
        </w:rPr>
        <w:t>xenobiotic</w:t>
      </w:r>
      <w:proofErr w:type="spellEnd"/>
      <w:r w:rsidRPr="00532F83">
        <w:rPr>
          <w:lang w:val="en-US"/>
        </w:rPr>
        <w:t xml:space="preserve"> detoxification and carcinogenesis. It is known that </w:t>
      </w:r>
      <w:r w:rsidRPr="00E65128">
        <w:rPr>
          <w:lang w:val="en-US"/>
        </w:rPr>
        <w:t xml:space="preserve">some AHR </w:t>
      </w:r>
      <w:proofErr w:type="spellStart"/>
      <w:r w:rsidRPr="00E65128">
        <w:rPr>
          <w:lang w:val="en-US"/>
        </w:rPr>
        <w:t>ligands</w:t>
      </w:r>
      <w:proofErr w:type="spellEnd"/>
      <w:r w:rsidRPr="00E65128">
        <w:rPr>
          <w:lang w:val="en-US"/>
        </w:rPr>
        <w:t xml:space="preserve"> are included in the composition of </w:t>
      </w:r>
      <w:r w:rsidRPr="00DD3CD9">
        <w:rPr>
          <w:lang w:val="en-US"/>
        </w:rPr>
        <w:t>drugs</w:t>
      </w:r>
      <w:r w:rsidRPr="003D4F84">
        <w:rPr>
          <w:lang w:val="en-US"/>
        </w:rPr>
        <w:t xml:space="preserve"> used in cancer therapy. However </w:t>
      </w:r>
      <w:r w:rsidRPr="00B81CCC">
        <w:rPr>
          <w:lang w:val="en-US"/>
        </w:rPr>
        <w:t>there are few works devo</w:t>
      </w:r>
      <w:r w:rsidRPr="00171CB4">
        <w:rPr>
          <w:lang w:val="en-US"/>
        </w:rPr>
        <w:t xml:space="preserve">ted to the study of their effect on </w:t>
      </w:r>
      <w:proofErr w:type="spellStart"/>
      <w:r w:rsidRPr="00171CB4">
        <w:rPr>
          <w:lang w:val="en-US"/>
        </w:rPr>
        <w:t>osteosarcoma</w:t>
      </w:r>
      <w:proofErr w:type="spellEnd"/>
      <w:r w:rsidRPr="00171CB4">
        <w:rPr>
          <w:lang w:val="en-US"/>
        </w:rPr>
        <w:t xml:space="preserve"> cells.</w:t>
      </w:r>
      <w:r>
        <w:rPr>
          <w:lang w:val="en-US"/>
        </w:rPr>
        <w:t xml:space="preserve"> </w:t>
      </w:r>
      <w:r w:rsidRPr="00532F83">
        <w:rPr>
          <w:lang w:val="en-US"/>
        </w:rPr>
        <w:t xml:space="preserve">In this work, three primary </w:t>
      </w:r>
      <w:r w:rsidRPr="00E65128">
        <w:rPr>
          <w:lang w:val="en-US"/>
        </w:rPr>
        <w:t xml:space="preserve">cell cultures were obtained from biopsy material of malignant bone tumors of human </w:t>
      </w:r>
      <w:proofErr w:type="spellStart"/>
      <w:r w:rsidRPr="00E65128">
        <w:rPr>
          <w:lang w:val="en-US"/>
        </w:rPr>
        <w:t>osteosarcoma</w:t>
      </w:r>
      <w:proofErr w:type="spellEnd"/>
      <w:r w:rsidRPr="00E65128">
        <w:rPr>
          <w:lang w:val="en-US"/>
        </w:rPr>
        <w:t xml:space="preserve">. </w:t>
      </w:r>
      <w:r w:rsidRPr="00532F83">
        <w:rPr>
          <w:lang w:val="en-US"/>
        </w:rPr>
        <w:t>It was shown that the aryl-hydrocarbon receptor is functionally active</w:t>
      </w:r>
      <w:r w:rsidRPr="00E65128">
        <w:rPr>
          <w:lang w:val="en-US"/>
        </w:rPr>
        <w:t xml:space="preserve"> in all cultures, but the target genes</w:t>
      </w:r>
      <w:r w:rsidRPr="00DD3CD9">
        <w:rPr>
          <w:lang w:val="en-US"/>
        </w:rPr>
        <w:t xml:space="preserve"> were</w:t>
      </w:r>
      <w:r w:rsidRPr="003D4F84">
        <w:rPr>
          <w:lang w:val="en-US"/>
        </w:rPr>
        <w:t xml:space="preserve"> induced</w:t>
      </w:r>
      <w:r w:rsidRPr="00B81CCC">
        <w:rPr>
          <w:lang w:val="en-US"/>
        </w:rPr>
        <w:t xml:space="preserve"> differently </w:t>
      </w:r>
      <w:r w:rsidRPr="00171CB4">
        <w:rPr>
          <w:lang w:val="en-US"/>
        </w:rPr>
        <w:t xml:space="preserve">by </w:t>
      </w:r>
      <w:proofErr w:type="spellStart"/>
      <w:r w:rsidRPr="00171CB4">
        <w:rPr>
          <w:lang w:val="en-US"/>
        </w:rPr>
        <w:t>ligand</w:t>
      </w:r>
      <w:proofErr w:type="spellEnd"/>
      <w:r w:rsidRPr="00520A93">
        <w:rPr>
          <w:lang w:val="en-US"/>
        </w:rPr>
        <w:t xml:space="preserve"> treatment</w:t>
      </w:r>
      <w:r w:rsidRPr="00815E61">
        <w:rPr>
          <w:lang w:val="en-US"/>
        </w:rPr>
        <w:t xml:space="preserve"> within the same cell culture.</w:t>
      </w:r>
    </w:p>
    <w:p w:rsidR="001232DB" w:rsidRPr="00625EA8" w:rsidRDefault="001232DB" w:rsidP="001232DB">
      <w:pPr>
        <w:spacing w:line="360" w:lineRule="auto"/>
        <w:jc w:val="both"/>
        <w:rPr>
          <w:rFonts w:ascii="PT Serif" w:hAnsi="PT Serif" w:cs="Arial"/>
          <w:lang w:val="en-US"/>
        </w:rPr>
      </w:pPr>
      <w:r>
        <w:rPr>
          <w:b/>
          <w:lang w:val="en-US"/>
        </w:rPr>
        <w:t>Key</w:t>
      </w:r>
      <w:r w:rsidRPr="00625EA8">
        <w:rPr>
          <w:b/>
          <w:lang w:val="en-US"/>
        </w:rPr>
        <w:t>words</w:t>
      </w:r>
      <w:r w:rsidRPr="00625EA8">
        <w:rPr>
          <w:lang w:val="en-US"/>
        </w:rPr>
        <w:t xml:space="preserve">: </w:t>
      </w:r>
      <w:r>
        <w:rPr>
          <w:i/>
          <w:lang w:val="en-US"/>
        </w:rPr>
        <w:t>a</w:t>
      </w:r>
      <w:r w:rsidRPr="008C0969">
        <w:rPr>
          <w:i/>
          <w:lang w:val="en-US"/>
        </w:rPr>
        <w:t>ryl hydrocarbon receptor AHR,</w:t>
      </w:r>
      <w:r w:rsidRPr="004B5C11">
        <w:rPr>
          <w:shd w:val="clear" w:color="auto" w:fill="FFFFFF"/>
          <w:lang w:val="en-US"/>
        </w:rPr>
        <w:t xml:space="preserve"> </w:t>
      </w:r>
      <w:proofErr w:type="spellStart"/>
      <w:r w:rsidRPr="004B5C11">
        <w:rPr>
          <w:i/>
          <w:shd w:val="clear" w:color="auto" w:fill="FFFFFF"/>
          <w:lang w:val="en-US"/>
        </w:rPr>
        <w:t>cytochrome</w:t>
      </w:r>
      <w:proofErr w:type="spellEnd"/>
      <w:r w:rsidRPr="004B5C11">
        <w:rPr>
          <w:i/>
          <w:shd w:val="clear" w:color="auto" w:fill="FFFFFF"/>
          <w:lang w:val="en-US"/>
        </w:rPr>
        <w:t xml:space="preserve"> P450 family</w:t>
      </w:r>
      <w:r w:rsidRPr="004B5C11">
        <w:rPr>
          <w:i/>
          <w:lang w:val="en-US"/>
        </w:rPr>
        <w:t xml:space="preserve"> CYP1</w:t>
      </w:r>
      <w:r w:rsidRPr="008C0969">
        <w:rPr>
          <w:i/>
          <w:lang w:val="en-US"/>
        </w:rPr>
        <w:t xml:space="preserve">, </w:t>
      </w:r>
      <w:proofErr w:type="spellStart"/>
      <w:r w:rsidRPr="008C0969">
        <w:rPr>
          <w:i/>
          <w:lang w:val="en-US"/>
        </w:rPr>
        <w:t>osteosarcoma</w:t>
      </w:r>
      <w:proofErr w:type="spellEnd"/>
      <w:r w:rsidRPr="008C0969">
        <w:rPr>
          <w:i/>
          <w:lang w:val="en-US"/>
        </w:rPr>
        <w:t>,</w:t>
      </w:r>
      <w:r w:rsidRPr="008C0969">
        <w:rPr>
          <w:bCs/>
          <w:i/>
          <w:lang w:val="en-US"/>
        </w:rPr>
        <w:t xml:space="preserve"> </w:t>
      </w:r>
      <w:proofErr w:type="spellStart"/>
      <w:r w:rsidRPr="008C0969">
        <w:rPr>
          <w:bCs/>
          <w:i/>
          <w:lang w:val="en-US"/>
        </w:rPr>
        <w:t>indirubin</w:t>
      </w:r>
      <w:proofErr w:type="spellEnd"/>
      <w:r w:rsidRPr="008C0969">
        <w:rPr>
          <w:bCs/>
          <w:i/>
          <w:lang w:val="en-US"/>
        </w:rPr>
        <w:t xml:space="preserve">, indol-3-carbinol, </w:t>
      </w:r>
      <w:r w:rsidRPr="008C0969">
        <w:rPr>
          <w:i/>
          <w:lang w:val="en-US"/>
        </w:rPr>
        <w:t>cell culture</w:t>
      </w:r>
    </w:p>
    <w:p w:rsidR="00922FE8" w:rsidRDefault="00922FE8" w:rsidP="00922FE8">
      <w:pPr>
        <w:spacing w:line="360" w:lineRule="auto"/>
        <w:jc w:val="both"/>
        <w:rPr>
          <w:i/>
          <w:lang w:val="en-US"/>
        </w:rPr>
      </w:pPr>
    </w:p>
    <w:p w:rsidR="00922FE8" w:rsidRPr="00523FF0" w:rsidRDefault="00922FE8" w:rsidP="00922FE8">
      <w:pPr>
        <w:spacing w:line="360" w:lineRule="auto"/>
        <w:jc w:val="both"/>
        <w:rPr>
          <w:b/>
          <w:lang w:val="en-US"/>
        </w:rPr>
      </w:pPr>
      <w:r w:rsidRPr="00523FF0">
        <w:rPr>
          <w:b/>
          <w:lang w:val="en-US"/>
        </w:rPr>
        <w:t xml:space="preserve">Running title: </w:t>
      </w:r>
      <w:r w:rsidR="00523FF0" w:rsidRPr="00523FF0">
        <w:rPr>
          <w:lang w:val="en-US"/>
        </w:rPr>
        <w:t xml:space="preserve">Functional activity of AHR in </w:t>
      </w:r>
      <w:proofErr w:type="spellStart"/>
      <w:r w:rsidR="00523FF0" w:rsidRPr="00523FF0">
        <w:rPr>
          <w:lang w:val="en-US"/>
        </w:rPr>
        <w:t>osteosarcoma</w:t>
      </w:r>
      <w:proofErr w:type="spellEnd"/>
      <w:r w:rsidR="00523FF0" w:rsidRPr="00523FF0">
        <w:rPr>
          <w:lang w:val="en-US"/>
        </w:rPr>
        <w:t xml:space="preserve"> cell cultures</w:t>
      </w:r>
    </w:p>
    <w:p w:rsidR="00922FE8" w:rsidRPr="00523FF0" w:rsidRDefault="00922FE8" w:rsidP="00922FE8">
      <w:pPr>
        <w:spacing w:line="360" w:lineRule="auto"/>
        <w:jc w:val="both"/>
        <w:rPr>
          <w:b/>
          <w:lang w:val="en-US"/>
        </w:rPr>
      </w:pPr>
    </w:p>
    <w:p w:rsidR="00523FF0" w:rsidRPr="00523FF0" w:rsidRDefault="00523FF0" w:rsidP="00523FF0">
      <w:pPr>
        <w:spacing w:line="360" w:lineRule="auto"/>
        <w:ind w:firstLine="709"/>
        <w:jc w:val="both"/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</w:pP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Osteosarcoma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(also called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osteogenic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sarcoma) is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the most common primary bone cancer. It starts in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the bone cells.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Osteosarcoma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has been associated with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rapid progression, early metastasis, a high risk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of recurrence following surgery, and poor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prognosis. It most often occurs in young people. Incidence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peaks during the period of rapid growth: at age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10–14 in females and at age 15–19 in males [1].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Despite numerous studies aimed at optimizing the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systemic treatment regimens for sarcomas [2–4], the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treatment efficacy of these malignant tumors remains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low. The accumulated data indicate the need to investigate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the factors that affect the disease prognosis and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outcomes of chemotherapy as well as to search for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alternative treatment methods for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osteosarcoma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.</w:t>
      </w:r>
    </w:p>
    <w:p w:rsidR="00523FF0" w:rsidRPr="00523FF0" w:rsidRDefault="00523FF0" w:rsidP="00523FF0">
      <w:pPr>
        <w:spacing w:line="360" w:lineRule="auto"/>
        <w:ind w:firstLine="709"/>
        <w:jc w:val="both"/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</w:pP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lastRenderedPageBreak/>
        <w:t>The Aryl Hydrocarbon Receptor (AHR) is a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ligand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-dependent transcription factor whose functions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are related to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xenobiotic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detoxification and carcinogenesis.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A wide spectrum of compounds that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function as AHR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ligands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are currently known, including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food substances, natural and synthetic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flavonoids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,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and pharmaceuticals, including those used in anticancer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therapy [5–7].</w:t>
      </w:r>
    </w:p>
    <w:p w:rsidR="00523FF0" w:rsidRPr="00523FF0" w:rsidRDefault="00523FF0" w:rsidP="00523FF0">
      <w:pPr>
        <w:spacing w:line="360" w:lineRule="auto"/>
        <w:ind w:firstLine="709"/>
        <w:jc w:val="both"/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</w:pP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Before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ligand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binding, AHR is retained in the cytoplasm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in a complex with an Hsp90 (Heat Shock Protein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90)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dimer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, the p23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cochaperone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, and the AIP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(AHR Interacting Protein) protein. Binding to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its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ligands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leads to dissociation of the complex, and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AHR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translocates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into the nucleus, where it binds to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the Aryl Hydrocarbon Receptor Nuclear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Translocator</w:t>
      </w:r>
      <w:proofErr w:type="spellEnd"/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(AHR–ARNT) [8]. The formed AHR : ARNT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heterodimer</w:t>
      </w:r>
      <w:proofErr w:type="spellEnd"/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interacts with XRE (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Xenobiotic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Response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Element) regulatory elements of the responsive genes,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which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upregulates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their transcription [9–1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0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].</w:t>
      </w:r>
    </w:p>
    <w:p w:rsidR="00523FF0" w:rsidRPr="00523FF0" w:rsidRDefault="00523FF0" w:rsidP="00523FF0">
      <w:pPr>
        <w:spacing w:line="360" w:lineRule="auto"/>
        <w:ind w:firstLine="709"/>
        <w:jc w:val="both"/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</w:pP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The most studied AHR targets are the genes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encoding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xenobiotic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-metabolizing enzymes, such as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cytochrome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P450 (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cytochrome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P450, CYP). In many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tumor cells, the changes in the ratio of different CYP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isoforms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and their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inducibility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are known to be different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to the changes occurring in noncancerous cells,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and this can strongly affect the treatment efficacy with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antitumor drugs.</w:t>
      </w:r>
    </w:p>
    <w:p w:rsidR="00541CF7" w:rsidRPr="00523FF0" w:rsidRDefault="00523FF0" w:rsidP="00523FF0">
      <w:pPr>
        <w:spacing w:line="360" w:lineRule="auto"/>
        <w:ind w:firstLine="709"/>
        <w:jc w:val="both"/>
        <w:rPr>
          <w:bCs/>
          <w:lang w:val="en-US"/>
        </w:rPr>
      </w:pP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AHR is regarded as a potential target for anticancer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therapy [5–7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]. Despite many studies focused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on the study of AHR activity in different types of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cancer, few investigations into its role in bone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malignancies, including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osteogenic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sarcomas, are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available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.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The aim of our work was to study the functional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activity of AHR in primary cultures of human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osteogenic</w:t>
      </w:r>
      <w:proofErr w:type="spellEnd"/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sarcoma cells after exposure to its exogenous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ligands</w:t>
      </w:r>
      <w:proofErr w:type="spellEnd"/>
      <w:r w:rsidRPr="00523FF0">
        <w:rPr>
          <w:rStyle w:val="a3"/>
          <w:b w:val="0"/>
          <w:color w:val="000000"/>
          <w:bdr w:val="none" w:sz="0" w:space="0" w:color="auto" w:frame="1"/>
          <w:shd w:val="clear" w:color="auto" w:fill="FFFFFF"/>
          <w:lang w:val="en-US"/>
        </w:rPr>
        <w:t>.</w:t>
      </w:r>
    </w:p>
    <w:p w:rsidR="00970743" w:rsidRPr="00523FF0" w:rsidRDefault="00970743" w:rsidP="006F4846">
      <w:pPr>
        <w:spacing w:line="360" w:lineRule="auto"/>
        <w:ind w:firstLine="709"/>
        <w:jc w:val="both"/>
        <w:rPr>
          <w:b/>
          <w:lang w:val="en-US"/>
        </w:rPr>
      </w:pPr>
    </w:p>
    <w:p w:rsidR="00523FF0" w:rsidRPr="00523FF0" w:rsidRDefault="00523FF0" w:rsidP="00523FF0">
      <w:pPr>
        <w:spacing w:line="360" w:lineRule="auto"/>
        <w:ind w:firstLine="709"/>
        <w:jc w:val="both"/>
        <w:rPr>
          <w:b/>
          <w:lang w:val="en-US"/>
        </w:rPr>
      </w:pPr>
      <w:r w:rsidRPr="00523FF0">
        <w:rPr>
          <w:b/>
          <w:lang w:val="en-US"/>
        </w:rPr>
        <w:t xml:space="preserve">Materials </w:t>
      </w:r>
      <w:r>
        <w:rPr>
          <w:b/>
          <w:lang w:val="en-US"/>
        </w:rPr>
        <w:t>a</w:t>
      </w:r>
      <w:r w:rsidRPr="00523FF0">
        <w:rPr>
          <w:b/>
          <w:lang w:val="en-US"/>
        </w:rPr>
        <w:t>nd Methods</w:t>
      </w:r>
    </w:p>
    <w:p w:rsidR="00523FF0" w:rsidRPr="00523FF0" w:rsidRDefault="00523FF0" w:rsidP="00523FF0">
      <w:pPr>
        <w:spacing w:line="360" w:lineRule="auto"/>
        <w:ind w:firstLine="709"/>
        <w:jc w:val="both"/>
        <w:rPr>
          <w:lang w:val="en-US"/>
        </w:rPr>
      </w:pPr>
      <w:r w:rsidRPr="00523FF0">
        <w:rPr>
          <w:b/>
          <w:lang w:val="en-US"/>
        </w:rPr>
        <w:t xml:space="preserve">Preparation of primary </w:t>
      </w:r>
      <w:proofErr w:type="spellStart"/>
      <w:r w:rsidRPr="00523FF0">
        <w:rPr>
          <w:b/>
          <w:lang w:val="en-US"/>
        </w:rPr>
        <w:t>osteosarcoma</w:t>
      </w:r>
      <w:proofErr w:type="spellEnd"/>
      <w:r w:rsidRPr="00523FF0">
        <w:rPr>
          <w:b/>
          <w:lang w:val="en-US"/>
        </w:rPr>
        <w:t xml:space="preserve"> cell cultures.</w:t>
      </w:r>
      <w:r>
        <w:rPr>
          <w:b/>
          <w:lang w:val="en-US"/>
        </w:rPr>
        <w:t xml:space="preserve"> </w:t>
      </w:r>
      <w:r w:rsidRPr="00523FF0">
        <w:rPr>
          <w:lang w:val="en-US"/>
        </w:rPr>
        <w:t>Tumor tissue specimens were obtained in 2018 from</w:t>
      </w:r>
      <w:r>
        <w:rPr>
          <w:lang w:val="en-US"/>
        </w:rPr>
        <w:t xml:space="preserve"> </w:t>
      </w:r>
      <w:r w:rsidRPr="00523FF0">
        <w:rPr>
          <w:lang w:val="en-US"/>
        </w:rPr>
        <w:t>the biopsy material of patients diagnosed with conventional</w:t>
      </w:r>
      <w:r>
        <w:rPr>
          <w:lang w:val="en-US"/>
        </w:rPr>
        <w:t xml:space="preserve"> </w:t>
      </w:r>
      <w:proofErr w:type="spellStart"/>
      <w:r w:rsidRPr="00523FF0">
        <w:rPr>
          <w:lang w:val="en-US"/>
        </w:rPr>
        <w:t>osteosarcoma</w:t>
      </w:r>
      <w:proofErr w:type="spellEnd"/>
      <w:r w:rsidRPr="00523FF0">
        <w:rPr>
          <w:lang w:val="en-US"/>
        </w:rPr>
        <w:t xml:space="preserve">, the </w:t>
      </w:r>
      <w:proofErr w:type="spellStart"/>
      <w:r w:rsidRPr="00523FF0">
        <w:rPr>
          <w:lang w:val="en-US"/>
        </w:rPr>
        <w:t>osteoblastic</w:t>
      </w:r>
      <w:proofErr w:type="spellEnd"/>
      <w:r w:rsidRPr="00523FF0">
        <w:rPr>
          <w:lang w:val="en-US"/>
        </w:rPr>
        <w:t xml:space="preserve"> histological</w:t>
      </w:r>
      <w:r>
        <w:rPr>
          <w:lang w:val="en-US"/>
        </w:rPr>
        <w:t xml:space="preserve"> </w:t>
      </w:r>
      <w:r w:rsidRPr="00523FF0">
        <w:rPr>
          <w:lang w:val="en-US"/>
        </w:rPr>
        <w:t>type. The patients included males and females aged</w:t>
      </w:r>
      <w:r>
        <w:rPr>
          <w:lang w:val="en-US"/>
        </w:rPr>
        <w:t xml:space="preserve"> </w:t>
      </w:r>
      <w:r w:rsidRPr="00523FF0">
        <w:rPr>
          <w:lang w:val="en-US"/>
        </w:rPr>
        <w:t>14–16 years. Chemotherapy was not performed</w:t>
      </w:r>
      <w:r>
        <w:rPr>
          <w:lang w:val="en-US"/>
        </w:rPr>
        <w:t xml:space="preserve"> </w:t>
      </w:r>
      <w:r w:rsidRPr="00523FF0">
        <w:rPr>
          <w:lang w:val="en-US"/>
        </w:rPr>
        <w:t>before collection of the biopsies. Tumor specimens</w:t>
      </w:r>
      <w:r>
        <w:rPr>
          <w:lang w:val="en-US"/>
        </w:rPr>
        <w:t xml:space="preserve"> </w:t>
      </w:r>
      <w:r w:rsidRPr="00523FF0">
        <w:rPr>
          <w:lang w:val="en-US"/>
        </w:rPr>
        <w:t>were transported to the laboratory within 2–3 h in</w:t>
      </w:r>
      <w:r>
        <w:rPr>
          <w:lang w:val="en-US"/>
        </w:rPr>
        <w:t xml:space="preserve"> </w:t>
      </w:r>
      <w:r w:rsidRPr="00523FF0">
        <w:rPr>
          <w:lang w:val="en-US"/>
        </w:rPr>
        <w:t>a serum-free DMEM medium (Dulbecco’s Modified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Eagle Medium, </w:t>
      </w:r>
      <w:proofErr w:type="spellStart"/>
      <w:r w:rsidRPr="00523FF0">
        <w:rPr>
          <w:lang w:val="en-US"/>
        </w:rPr>
        <w:t>Paneco</w:t>
      </w:r>
      <w:proofErr w:type="spellEnd"/>
      <w:r w:rsidRPr="00523FF0">
        <w:rPr>
          <w:lang w:val="en-US"/>
        </w:rPr>
        <w:t>, Russia) supplemented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with 100 </w:t>
      </w:r>
      <w:r w:rsidRPr="00523FF0">
        <w:t>μ</w:t>
      </w:r>
      <w:r w:rsidRPr="00523FF0">
        <w:rPr>
          <w:lang w:val="en-US"/>
        </w:rPr>
        <w:t>g/</w:t>
      </w:r>
      <w:proofErr w:type="spellStart"/>
      <w:r w:rsidRPr="00523FF0">
        <w:rPr>
          <w:lang w:val="en-US"/>
        </w:rPr>
        <w:t>mL</w:t>
      </w:r>
      <w:proofErr w:type="spellEnd"/>
      <w:r w:rsidRPr="00523FF0">
        <w:rPr>
          <w:lang w:val="en-US"/>
        </w:rPr>
        <w:t xml:space="preserve"> of </w:t>
      </w:r>
      <w:proofErr w:type="spellStart"/>
      <w:r w:rsidRPr="00523FF0">
        <w:rPr>
          <w:lang w:val="en-US"/>
        </w:rPr>
        <w:t>gentamicin</w:t>
      </w:r>
      <w:proofErr w:type="spellEnd"/>
      <w:r w:rsidRPr="00523FF0">
        <w:rPr>
          <w:lang w:val="en-US"/>
        </w:rPr>
        <w:t xml:space="preserve"> (</w:t>
      </w:r>
      <w:proofErr w:type="spellStart"/>
      <w:r w:rsidRPr="00523FF0">
        <w:rPr>
          <w:lang w:val="en-US"/>
        </w:rPr>
        <w:t>Microgen</w:t>
      </w:r>
      <w:proofErr w:type="spellEnd"/>
      <w:r w:rsidRPr="00523FF0">
        <w:rPr>
          <w:lang w:val="en-US"/>
        </w:rPr>
        <w:t>,</w:t>
      </w:r>
      <w:r>
        <w:rPr>
          <w:lang w:val="en-US"/>
        </w:rPr>
        <w:t xml:space="preserve"> </w:t>
      </w:r>
      <w:r w:rsidRPr="00523FF0">
        <w:rPr>
          <w:lang w:val="en-US"/>
        </w:rPr>
        <w:t>Russia). Afterwards, the tissue was disaggregated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mechanically or </w:t>
      </w:r>
      <w:proofErr w:type="spellStart"/>
      <w:r w:rsidRPr="00523FF0">
        <w:rPr>
          <w:lang w:val="en-US"/>
        </w:rPr>
        <w:t>enzymatically</w:t>
      </w:r>
      <w:proofErr w:type="spellEnd"/>
      <w:r w:rsidRPr="00523FF0">
        <w:rPr>
          <w:lang w:val="en-US"/>
        </w:rPr>
        <w:t xml:space="preserve"> (</w:t>
      </w:r>
      <w:proofErr w:type="spellStart"/>
      <w:r w:rsidRPr="00523FF0">
        <w:rPr>
          <w:lang w:val="en-US"/>
        </w:rPr>
        <w:t>trypsin</w:t>
      </w:r>
      <w:proofErr w:type="spellEnd"/>
      <w:r w:rsidRPr="00523FF0">
        <w:rPr>
          <w:lang w:val="en-US"/>
        </w:rPr>
        <w:t>-EDTA 0.25% solution,</w:t>
      </w:r>
      <w:r>
        <w:rPr>
          <w:lang w:val="en-US"/>
        </w:rPr>
        <w:t xml:space="preserve"> </w:t>
      </w:r>
      <w:proofErr w:type="spellStart"/>
      <w:r w:rsidRPr="00523FF0">
        <w:rPr>
          <w:lang w:val="en-US"/>
        </w:rPr>
        <w:t>Paneco</w:t>
      </w:r>
      <w:proofErr w:type="spellEnd"/>
      <w:r w:rsidRPr="00523FF0">
        <w:rPr>
          <w:lang w:val="en-US"/>
        </w:rPr>
        <w:t>, Russia) to produce a suspension of</w:t>
      </w:r>
      <w:r>
        <w:rPr>
          <w:lang w:val="en-US"/>
        </w:rPr>
        <w:t xml:space="preserve"> </w:t>
      </w:r>
      <w:r w:rsidRPr="00523FF0">
        <w:rPr>
          <w:lang w:val="en-US"/>
        </w:rPr>
        <w:t>cells, which was placed into culture flasks (Corning</w:t>
      </w:r>
      <w:r>
        <w:rPr>
          <w:lang w:val="en-US"/>
        </w:rPr>
        <w:t xml:space="preserve"> </w:t>
      </w:r>
      <w:r w:rsidRPr="00523FF0">
        <w:rPr>
          <w:lang w:val="en-US"/>
        </w:rPr>
        <w:t>Costar, United States) containing DMEM/F12</w:t>
      </w:r>
      <w:r>
        <w:rPr>
          <w:lang w:val="en-US"/>
        </w:rPr>
        <w:t xml:space="preserve"> </w:t>
      </w:r>
      <w:r w:rsidRPr="00523FF0">
        <w:rPr>
          <w:lang w:val="en-US"/>
        </w:rPr>
        <w:t>medium (</w:t>
      </w:r>
      <w:proofErr w:type="spellStart"/>
      <w:r w:rsidRPr="00523FF0">
        <w:rPr>
          <w:lang w:val="en-US"/>
        </w:rPr>
        <w:t>Gibco</w:t>
      </w:r>
      <w:proofErr w:type="spellEnd"/>
      <w:r w:rsidRPr="00523FF0">
        <w:rPr>
          <w:lang w:val="en-US"/>
        </w:rPr>
        <w:t>, United Kingdom) supplemented</w:t>
      </w:r>
      <w:r>
        <w:rPr>
          <w:lang w:val="en-US"/>
        </w:rPr>
        <w:t xml:space="preserve"> </w:t>
      </w:r>
      <w:r w:rsidRPr="00523FF0">
        <w:rPr>
          <w:lang w:val="en-US"/>
        </w:rPr>
        <w:t>with 10% fetal bovine serum (PAA Laboratories,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Austria) and </w:t>
      </w:r>
      <w:proofErr w:type="spellStart"/>
      <w:r w:rsidRPr="00523FF0">
        <w:rPr>
          <w:lang w:val="en-US"/>
        </w:rPr>
        <w:t>gentamicin</w:t>
      </w:r>
      <w:proofErr w:type="spellEnd"/>
      <w:r w:rsidRPr="00523FF0">
        <w:rPr>
          <w:lang w:val="en-US"/>
        </w:rPr>
        <w:t xml:space="preserve"> (50 </w:t>
      </w:r>
      <w:r w:rsidRPr="00523FF0">
        <w:t>μ</w:t>
      </w:r>
      <w:r w:rsidRPr="00523FF0">
        <w:rPr>
          <w:lang w:val="en-US"/>
        </w:rPr>
        <w:t>g/</w:t>
      </w:r>
      <w:proofErr w:type="spellStart"/>
      <w:r w:rsidRPr="00523FF0">
        <w:rPr>
          <w:lang w:val="en-US"/>
        </w:rPr>
        <w:t>mL</w:t>
      </w:r>
      <w:proofErr w:type="spellEnd"/>
      <w:r w:rsidRPr="00523FF0">
        <w:rPr>
          <w:lang w:val="en-US"/>
        </w:rPr>
        <w:t>).</w:t>
      </w:r>
    </w:p>
    <w:p w:rsidR="00523FF0" w:rsidRPr="00523FF0" w:rsidRDefault="00523FF0" w:rsidP="00523FF0">
      <w:pPr>
        <w:spacing w:line="360" w:lineRule="auto"/>
        <w:ind w:firstLine="709"/>
        <w:jc w:val="both"/>
        <w:rPr>
          <w:lang w:val="en-US"/>
        </w:rPr>
      </w:pPr>
      <w:r w:rsidRPr="00523FF0">
        <w:rPr>
          <w:b/>
          <w:i/>
          <w:lang w:val="en-US"/>
        </w:rPr>
        <w:lastRenderedPageBreak/>
        <w:t>Cell lines and cultivation conditions.</w:t>
      </w:r>
      <w:r w:rsidRPr="00523FF0">
        <w:rPr>
          <w:lang w:val="en-US"/>
        </w:rPr>
        <w:t xml:space="preserve"> Human fetal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kidney cell lines HEK293 and </w:t>
      </w:r>
      <w:proofErr w:type="spellStart"/>
      <w:r w:rsidRPr="00523FF0">
        <w:rPr>
          <w:lang w:val="en-US"/>
        </w:rPr>
        <w:t>mesenchymal</w:t>
      </w:r>
      <w:proofErr w:type="spellEnd"/>
      <w:r w:rsidRPr="00523FF0">
        <w:rPr>
          <w:lang w:val="en-US"/>
        </w:rPr>
        <w:t xml:space="preserve"> stem cells</w:t>
      </w:r>
      <w:r>
        <w:rPr>
          <w:lang w:val="en-US"/>
        </w:rPr>
        <w:t xml:space="preserve"> </w:t>
      </w:r>
      <w:r w:rsidRPr="00523FF0">
        <w:rPr>
          <w:lang w:val="en-US"/>
        </w:rPr>
        <w:t>MSC were cultured in DMEM/F12 medium (</w:t>
      </w:r>
      <w:proofErr w:type="spellStart"/>
      <w:r w:rsidRPr="00523FF0">
        <w:rPr>
          <w:lang w:val="en-US"/>
        </w:rPr>
        <w:t>Gibco</w:t>
      </w:r>
      <w:proofErr w:type="spellEnd"/>
      <w:r w:rsidRPr="00523FF0">
        <w:rPr>
          <w:lang w:val="en-US"/>
        </w:rPr>
        <w:t>,</w:t>
      </w:r>
      <w:r>
        <w:rPr>
          <w:lang w:val="en-US"/>
        </w:rPr>
        <w:t xml:space="preserve"> </w:t>
      </w:r>
      <w:r w:rsidRPr="00523FF0">
        <w:rPr>
          <w:lang w:val="en-US"/>
        </w:rPr>
        <w:t>United Kingdom) supplemented with 10% fetal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bovine serum (PAA Laboratories, Austria) and </w:t>
      </w:r>
      <w:proofErr w:type="spellStart"/>
      <w:r w:rsidRPr="00523FF0">
        <w:rPr>
          <w:lang w:val="en-US"/>
        </w:rPr>
        <w:t>gentamicin</w:t>
      </w:r>
      <w:proofErr w:type="spellEnd"/>
      <w:r>
        <w:rPr>
          <w:lang w:val="en-US"/>
        </w:rPr>
        <w:t xml:space="preserve"> </w:t>
      </w:r>
      <w:r w:rsidRPr="00523FF0">
        <w:rPr>
          <w:lang w:val="en-US"/>
        </w:rPr>
        <w:t xml:space="preserve">(50 </w:t>
      </w:r>
      <w:r w:rsidRPr="00523FF0">
        <w:t>μ</w:t>
      </w:r>
      <w:r w:rsidRPr="00523FF0">
        <w:rPr>
          <w:lang w:val="en-US"/>
        </w:rPr>
        <w:t>g/</w:t>
      </w:r>
      <w:proofErr w:type="spellStart"/>
      <w:r w:rsidRPr="00523FF0">
        <w:rPr>
          <w:lang w:val="en-US"/>
        </w:rPr>
        <w:t>mL</w:t>
      </w:r>
      <w:proofErr w:type="spellEnd"/>
      <w:r w:rsidRPr="00523FF0">
        <w:rPr>
          <w:lang w:val="en-US"/>
        </w:rPr>
        <w:t>).</w:t>
      </w:r>
    </w:p>
    <w:p w:rsidR="00523FF0" w:rsidRDefault="00523FF0" w:rsidP="00523FF0">
      <w:pPr>
        <w:spacing w:line="360" w:lineRule="auto"/>
        <w:ind w:firstLine="709"/>
        <w:jc w:val="both"/>
        <w:rPr>
          <w:lang w:val="en-US"/>
        </w:rPr>
      </w:pPr>
      <w:r w:rsidRPr="00523FF0">
        <w:rPr>
          <w:b/>
          <w:i/>
          <w:lang w:val="en-US"/>
        </w:rPr>
        <w:t xml:space="preserve">Treatment of cells with </w:t>
      </w:r>
      <w:proofErr w:type="spellStart"/>
      <w:r w:rsidRPr="00523FF0">
        <w:rPr>
          <w:b/>
          <w:i/>
          <w:lang w:val="en-US"/>
        </w:rPr>
        <w:t>ligands</w:t>
      </w:r>
      <w:proofErr w:type="spellEnd"/>
      <w:r w:rsidRPr="00523FF0">
        <w:rPr>
          <w:b/>
          <w:i/>
          <w:lang w:val="en-US"/>
        </w:rPr>
        <w:t>.</w:t>
      </w:r>
      <w:r w:rsidRPr="00523FF0">
        <w:rPr>
          <w:lang w:val="en-US"/>
        </w:rPr>
        <w:t xml:space="preserve"> Primary cultures of</w:t>
      </w:r>
      <w:r>
        <w:rPr>
          <w:lang w:val="en-US"/>
        </w:rPr>
        <w:t xml:space="preserve"> </w:t>
      </w:r>
      <w:proofErr w:type="spellStart"/>
      <w:r w:rsidRPr="00523FF0">
        <w:rPr>
          <w:lang w:val="en-US"/>
        </w:rPr>
        <w:t>osteosarcoma</w:t>
      </w:r>
      <w:proofErr w:type="spellEnd"/>
      <w:r w:rsidRPr="00523FF0">
        <w:rPr>
          <w:lang w:val="en-US"/>
        </w:rPr>
        <w:t xml:space="preserve"> cells were seeded into six-well plates. In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24 h, </w:t>
      </w:r>
      <w:proofErr w:type="spellStart"/>
      <w:r w:rsidRPr="00523FF0">
        <w:rPr>
          <w:lang w:val="en-US"/>
        </w:rPr>
        <w:t>ligands</w:t>
      </w:r>
      <w:proofErr w:type="spellEnd"/>
      <w:r w:rsidRPr="00523FF0">
        <w:rPr>
          <w:lang w:val="en-US"/>
        </w:rPr>
        <w:t xml:space="preserve"> were added into the culture medium:</w:t>
      </w:r>
      <w:r>
        <w:rPr>
          <w:lang w:val="en-US"/>
        </w:rPr>
        <w:t xml:space="preserve"> </w:t>
      </w:r>
      <w:proofErr w:type="spellStart"/>
      <w:r w:rsidRPr="00523FF0">
        <w:rPr>
          <w:lang w:val="en-US"/>
        </w:rPr>
        <w:t>indirubin</w:t>
      </w:r>
      <w:proofErr w:type="spellEnd"/>
      <w:r w:rsidRPr="00523FF0">
        <w:rPr>
          <w:lang w:val="en-US"/>
        </w:rPr>
        <w:t xml:space="preserve"> at a final concentration of 100 </w:t>
      </w:r>
      <w:proofErr w:type="spellStart"/>
      <w:r w:rsidRPr="00523FF0">
        <w:rPr>
          <w:lang w:val="en-US"/>
        </w:rPr>
        <w:t>nM</w:t>
      </w:r>
      <w:proofErr w:type="spellEnd"/>
      <w:r w:rsidRPr="00523FF0">
        <w:rPr>
          <w:lang w:val="en-US"/>
        </w:rPr>
        <w:t xml:space="preserve"> (Sigma-Aldrich, United States) and indole-3-carbinol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(100 </w:t>
      </w:r>
      <w:r w:rsidRPr="00523FF0">
        <w:t>μ</w:t>
      </w:r>
      <w:r w:rsidRPr="00523FF0">
        <w:rPr>
          <w:lang w:val="en-US"/>
        </w:rPr>
        <w:t>M) (</w:t>
      </w:r>
      <w:proofErr w:type="spellStart"/>
      <w:r w:rsidRPr="00523FF0">
        <w:rPr>
          <w:lang w:val="en-US"/>
        </w:rPr>
        <w:t>Mirax</w:t>
      </w:r>
      <w:proofErr w:type="spellEnd"/>
      <w:r w:rsidRPr="00523FF0">
        <w:rPr>
          <w:lang w:val="en-US"/>
        </w:rPr>
        <w:t xml:space="preserve"> </w:t>
      </w:r>
      <w:proofErr w:type="spellStart"/>
      <w:r w:rsidRPr="00523FF0">
        <w:rPr>
          <w:lang w:val="en-US"/>
        </w:rPr>
        <w:t>Biopharma</w:t>
      </w:r>
      <w:proofErr w:type="spellEnd"/>
      <w:r w:rsidRPr="00523FF0">
        <w:rPr>
          <w:lang w:val="en-US"/>
        </w:rPr>
        <w:t>, Russia). Stock solutions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of the </w:t>
      </w:r>
      <w:proofErr w:type="spellStart"/>
      <w:r w:rsidRPr="00523FF0">
        <w:rPr>
          <w:lang w:val="en-US"/>
        </w:rPr>
        <w:t>ligands</w:t>
      </w:r>
      <w:proofErr w:type="spellEnd"/>
      <w:r w:rsidRPr="00523FF0">
        <w:rPr>
          <w:lang w:val="en-US"/>
        </w:rPr>
        <w:t xml:space="preserve"> were prepared using DMSO (</w:t>
      </w:r>
      <w:proofErr w:type="spellStart"/>
      <w:r w:rsidRPr="00523FF0">
        <w:rPr>
          <w:lang w:val="en-US"/>
        </w:rPr>
        <w:t>dimethyl</w:t>
      </w:r>
      <w:proofErr w:type="spellEnd"/>
      <w:r>
        <w:rPr>
          <w:lang w:val="en-US"/>
        </w:rPr>
        <w:t xml:space="preserve"> </w:t>
      </w:r>
      <w:proofErr w:type="spellStart"/>
      <w:r w:rsidRPr="00523FF0">
        <w:rPr>
          <w:lang w:val="en-US"/>
        </w:rPr>
        <w:t>sulfoxide</w:t>
      </w:r>
      <w:proofErr w:type="spellEnd"/>
      <w:r w:rsidRPr="00523FF0">
        <w:rPr>
          <w:lang w:val="en-US"/>
        </w:rPr>
        <w:t xml:space="preserve">; </w:t>
      </w:r>
      <w:proofErr w:type="spellStart"/>
      <w:r w:rsidRPr="00523FF0">
        <w:rPr>
          <w:lang w:val="en-US"/>
        </w:rPr>
        <w:t>Paneco</w:t>
      </w:r>
      <w:proofErr w:type="spellEnd"/>
      <w:r w:rsidRPr="00523FF0">
        <w:rPr>
          <w:lang w:val="en-US"/>
        </w:rPr>
        <w:t>, Russia). The same amount of</w:t>
      </w:r>
      <w:r>
        <w:rPr>
          <w:lang w:val="en-US"/>
        </w:rPr>
        <w:t xml:space="preserve"> </w:t>
      </w:r>
      <w:r w:rsidRPr="00523FF0">
        <w:rPr>
          <w:lang w:val="en-US"/>
        </w:rPr>
        <w:t>DMSO was added to the control cell sample. The cells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were incubated with the </w:t>
      </w:r>
      <w:proofErr w:type="spellStart"/>
      <w:r w:rsidRPr="00523FF0">
        <w:rPr>
          <w:lang w:val="en-US"/>
        </w:rPr>
        <w:t>ligands</w:t>
      </w:r>
      <w:proofErr w:type="spellEnd"/>
      <w:r w:rsidRPr="00523FF0">
        <w:rPr>
          <w:lang w:val="en-US"/>
        </w:rPr>
        <w:t xml:space="preserve"> for 24 h.</w:t>
      </w:r>
      <w:r>
        <w:rPr>
          <w:lang w:val="en-US"/>
        </w:rPr>
        <w:t xml:space="preserve"> </w:t>
      </w:r>
    </w:p>
    <w:p w:rsidR="00523FF0" w:rsidRPr="00523FF0" w:rsidRDefault="00523FF0" w:rsidP="00523FF0">
      <w:pPr>
        <w:spacing w:line="360" w:lineRule="auto"/>
        <w:ind w:firstLine="709"/>
        <w:jc w:val="both"/>
        <w:rPr>
          <w:lang w:val="en-US"/>
        </w:rPr>
      </w:pPr>
      <w:r w:rsidRPr="00523FF0">
        <w:rPr>
          <w:b/>
          <w:i/>
          <w:lang w:val="en-US"/>
        </w:rPr>
        <w:t>Extraction of RNA, RT-PCR, and real time PCR.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Total RNA was extracted using </w:t>
      </w:r>
      <w:proofErr w:type="spellStart"/>
      <w:r w:rsidRPr="00523FF0">
        <w:rPr>
          <w:lang w:val="en-US"/>
        </w:rPr>
        <w:t>RNAzol</w:t>
      </w:r>
      <w:proofErr w:type="spellEnd"/>
      <w:r w:rsidRPr="00523FF0">
        <w:rPr>
          <w:lang w:val="en-US"/>
        </w:rPr>
        <w:t xml:space="preserve"> RT reagent</w:t>
      </w:r>
      <w:r>
        <w:rPr>
          <w:lang w:val="en-US"/>
        </w:rPr>
        <w:t xml:space="preserve"> </w:t>
      </w:r>
      <w:r w:rsidRPr="00523FF0">
        <w:rPr>
          <w:lang w:val="en-US"/>
        </w:rPr>
        <w:t>(Sigma-Aldrich, United States) according to the manufacturer’s</w:t>
      </w:r>
      <w:r>
        <w:rPr>
          <w:lang w:val="en-US"/>
        </w:rPr>
        <w:t xml:space="preserve"> </w:t>
      </w:r>
      <w:r w:rsidRPr="00523FF0">
        <w:rPr>
          <w:lang w:val="en-US"/>
        </w:rPr>
        <w:t>guidelines. The quality of the isolated RNA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was assessed by electrophoresis in 1% </w:t>
      </w:r>
      <w:proofErr w:type="spellStart"/>
      <w:r w:rsidRPr="00523FF0">
        <w:rPr>
          <w:lang w:val="en-US"/>
        </w:rPr>
        <w:t>agarose</w:t>
      </w:r>
      <w:proofErr w:type="spellEnd"/>
      <w:r w:rsidRPr="00523FF0">
        <w:rPr>
          <w:lang w:val="en-US"/>
        </w:rPr>
        <w:t xml:space="preserve"> gel containing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0.01% </w:t>
      </w:r>
      <w:proofErr w:type="spellStart"/>
      <w:r w:rsidRPr="00523FF0">
        <w:rPr>
          <w:lang w:val="en-US"/>
        </w:rPr>
        <w:t>ethidium</w:t>
      </w:r>
      <w:proofErr w:type="spellEnd"/>
      <w:r w:rsidRPr="00523FF0">
        <w:rPr>
          <w:lang w:val="en-US"/>
        </w:rPr>
        <w:t xml:space="preserve"> bromide. The RNA concentration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was measured using the </w:t>
      </w:r>
      <w:proofErr w:type="spellStart"/>
      <w:r w:rsidRPr="00523FF0">
        <w:rPr>
          <w:lang w:val="en-US"/>
        </w:rPr>
        <w:t>NanoDrop</w:t>
      </w:r>
      <w:proofErr w:type="spellEnd"/>
      <w:r w:rsidRPr="00523FF0">
        <w:rPr>
          <w:lang w:val="en-US"/>
        </w:rPr>
        <w:t xml:space="preserve"> 8000 spectrophotometer</w:t>
      </w:r>
      <w:r>
        <w:rPr>
          <w:lang w:val="en-US"/>
        </w:rPr>
        <w:t xml:space="preserve"> </w:t>
      </w:r>
      <w:r w:rsidRPr="00523FF0">
        <w:rPr>
          <w:lang w:val="en-US"/>
        </w:rPr>
        <w:t>(Thermo Scientific, United States).</w:t>
      </w:r>
      <w:r>
        <w:rPr>
          <w:lang w:val="en-US"/>
        </w:rPr>
        <w:t xml:space="preserve"> </w:t>
      </w:r>
      <w:r w:rsidRPr="00523FF0">
        <w:rPr>
          <w:lang w:val="en-US"/>
        </w:rPr>
        <w:t>Reverse transcription was performed using the MMLV</w:t>
      </w:r>
      <w:r>
        <w:rPr>
          <w:lang w:val="en-US"/>
        </w:rPr>
        <w:t xml:space="preserve"> </w:t>
      </w:r>
      <w:r w:rsidRPr="00523FF0">
        <w:rPr>
          <w:lang w:val="en-US"/>
        </w:rPr>
        <w:t>RT Kit (</w:t>
      </w:r>
      <w:proofErr w:type="spellStart"/>
      <w:r w:rsidRPr="00523FF0">
        <w:rPr>
          <w:lang w:val="en-US"/>
        </w:rPr>
        <w:t>Eurogen</w:t>
      </w:r>
      <w:proofErr w:type="spellEnd"/>
      <w:r w:rsidRPr="00523FF0">
        <w:rPr>
          <w:lang w:val="en-US"/>
        </w:rPr>
        <w:t>, Russia), and real-time PCR was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conducted using the </w:t>
      </w:r>
      <w:proofErr w:type="spellStart"/>
      <w:r w:rsidRPr="00523FF0">
        <w:rPr>
          <w:lang w:val="en-US"/>
        </w:rPr>
        <w:t>qPCRmix</w:t>
      </w:r>
      <w:proofErr w:type="spellEnd"/>
      <w:r w:rsidRPr="00523FF0">
        <w:rPr>
          <w:lang w:val="en-US"/>
        </w:rPr>
        <w:t xml:space="preserve">-HS </w:t>
      </w:r>
      <w:proofErr w:type="spellStart"/>
      <w:r w:rsidRPr="00523FF0">
        <w:rPr>
          <w:lang w:val="en-US"/>
        </w:rPr>
        <w:t>SYBR+HighRox</w:t>
      </w:r>
      <w:proofErr w:type="spellEnd"/>
      <w:r>
        <w:rPr>
          <w:lang w:val="en-US"/>
        </w:rPr>
        <w:t xml:space="preserve"> </w:t>
      </w:r>
      <w:r w:rsidRPr="00523FF0">
        <w:rPr>
          <w:lang w:val="en-US"/>
        </w:rPr>
        <w:t>reagent kit (</w:t>
      </w:r>
      <w:proofErr w:type="spellStart"/>
      <w:r w:rsidRPr="00523FF0">
        <w:rPr>
          <w:lang w:val="en-US"/>
        </w:rPr>
        <w:t>Eurogen</w:t>
      </w:r>
      <w:proofErr w:type="spellEnd"/>
      <w:r w:rsidRPr="00523FF0">
        <w:rPr>
          <w:lang w:val="en-US"/>
        </w:rPr>
        <w:t>, Russia). The reaction was performed</w:t>
      </w:r>
      <w:r>
        <w:rPr>
          <w:lang w:val="en-US"/>
        </w:rPr>
        <w:t xml:space="preserve"> </w:t>
      </w:r>
      <w:r w:rsidRPr="00523FF0">
        <w:rPr>
          <w:lang w:val="en-US"/>
        </w:rPr>
        <w:t>in the ABI Prism 7500 Sequence Detection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System (Applied </w:t>
      </w:r>
      <w:proofErr w:type="spellStart"/>
      <w:r w:rsidRPr="00523FF0">
        <w:rPr>
          <w:lang w:val="en-US"/>
        </w:rPr>
        <w:t>BioSystems</w:t>
      </w:r>
      <w:proofErr w:type="spellEnd"/>
      <w:r w:rsidRPr="00523FF0">
        <w:rPr>
          <w:lang w:val="en-US"/>
        </w:rPr>
        <w:t>, United States). Amplification</w:t>
      </w:r>
      <w:r>
        <w:rPr>
          <w:lang w:val="en-US"/>
        </w:rPr>
        <w:t xml:space="preserve"> </w:t>
      </w:r>
      <w:r w:rsidRPr="00523FF0">
        <w:rPr>
          <w:lang w:val="en-US"/>
        </w:rPr>
        <w:t>conditions: 95° for 5 min then 40 cycles (95°</w:t>
      </w:r>
      <w:r>
        <w:rPr>
          <w:lang w:val="en-US"/>
        </w:rPr>
        <w:t xml:space="preserve"> </w:t>
      </w:r>
      <w:r w:rsidRPr="00523FF0">
        <w:rPr>
          <w:lang w:val="en-US"/>
        </w:rPr>
        <w:t>for 15 s, 60° for 15 s, 72° for 30 s). The reference genes</w:t>
      </w:r>
      <w:r>
        <w:rPr>
          <w:lang w:val="en-US"/>
        </w:rPr>
        <w:t xml:space="preserve"> </w:t>
      </w:r>
      <w:r w:rsidRPr="00523FF0">
        <w:rPr>
          <w:lang w:val="en-US"/>
        </w:rPr>
        <w:t>were GAPDH and HPRT1. The gene expression level</w:t>
      </w:r>
      <w:r>
        <w:rPr>
          <w:lang w:val="en-US"/>
        </w:rPr>
        <w:t xml:space="preserve"> </w:t>
      </w:r>
      <w:r w:rsidRPr="00523FF0">
        <w:rPr>
          <w:lang w:val="en-US"/>
        </w:rPr>
        <w:t>was calculated using the 2-</w:t>
      </w:r>
      <w:r w:rsidRPr="00523FF0">
        <w:t>ΔΔС</w:t>
      </w:r>
      <w:r w:rsidRPr="00523FF0">
        <w:rPr>
          <w:lang w:val="en-US"/>
        </w:rPr>
        <w:t>t method. The sequences</w:t>
      </w:r>
      <w:r>
        <w:rPr>
          <w:lang w:val="en-US"/>
        </w:rPr>
        <w:t xml:space="preserve"> </w:t>
      </w:r>
      <w:r w:rsidRPr="00523FF0">
        <w:rPr>
          <w:lang w:val="en-US"/>
        </w:rPr>
        <w:t>of primer pairs are as follows. For the GAPDH gene:</w:t>
      </w:r>
      <w:r>
        <w:rPr>
          <w:lang w:val="en-US"/>
        </w:rPr>
        <w:t xml:space="preserve"> </w:t>
      </w:r>
      <w:r w:rsidRPr="00523FF0">
        <w:rPr>
          <w:lang w:val="en-US"/>
        </w:rPr>
        <w:t>forward–TGCACCACCAACTGCTTAGC, reverse–GGCATGGACTGTGGTCATGAG; for the HPRT1</w:t>
      </w:r>
      <w:r>
        <w:rPr>
          <w:lang w:val="en-US"/>
        </w:rPr>
        <w:t xml:space="preserve"> </w:t>
      </w:r>
      <w:r w:rsidRPr="00523FF0">
        <w:rPr>
          <w:lang w:val="en-US"/>
        </w:rPr>
        <w:t>gene: forward–TGAGGATTTGGAAAGGGTGT,</w:t>
      </w:r>
      <w:r>
        <w:rPr>
          <w:lang w:val="en-US"/>
        </w:rPr>
        <w:t xml:space="preserve"> </w:t>
      </w:r>
      <w:r w:rsidRPr="00523FF0">
        <w:rPr>
          <w:lang w:val="en-US"/>
        </w:rPr>
        <w:t>reverse–GAGCACACAGAGGGCTACAA; for the</w:t>
      </w:r>
      <w:r>
        <w:rPr>
          <w:lang w:val="en-US"/>
        </w:rPr>
        <w:t xml:space="preserve"> </w:t>
      </w:r>
      <w:r w:rsidRPr="00523FF0">
        <w:rPr>
          <w:lang w:val="en-US"/>
        </w:rPr>
        <w:t>CYP1A1 gene: forward–GATTGAGCACTGTCAGGAGAAGC,</w:t>
      </w:r>
      <w:r>
        <w:rPr>
          <w:lang w:val="en-US"/>
        </w:rPr>
        <w:t xml:space="preserve"> </w:t>
      </w:r>
      <w:r w:rsidRPr="00523FF0">
        <w:rPr>
          <w:lang w:val="en-US"/>
        </w:rPr>
        <w:t>reverse–CCAAAGAGGTCCAAGACGATGTTA;</w:t>
      </w:r>
      <w:r>
        <w:rPr>
          <w:lang w:val="en-US"/>
        </w:rPr>
        <w:t xml:space="preserve"> </w:t>
      </w:r>
      <w:r w:rsidRPr="00523FF0">
        <w:rPr>
          <w:lang w:val="en-US"/>
        </w:rPr>
        <w:t>for the CYP1A2 gene: forward–ATCCTGGAGACCTTCCGACACT,</w:t>
      </w:r>
      <w:r>
        <w:rPr>
          <w:lang w:val="en-US"/>
        </w:rPr>
        <w:t xml:space="preserve"> </w:t>
      </w:r>
      <w:r w:rsidRPr="00523FF0">
        <w:rPr>
          <w:lang w:val="en-US"/>
        </w:rPr>
        <w:t>reverse–GATGTAGAAGCCATTCAGCGTTGTG;</w:t>
      </w:r>
      <w:r>
        <w:rPr>
          <w:lang w:val="en-US"/>
        </w:rPr>
        <w:t xml:space="preserve"> </w:t>
      </w:r>
      <w:r w:rsidRPr="00523FF0">
        <w:rPr>
          <w:lang w:val="en-US"/>
        </w:rPr>
        <w:t>for the CYP1B</w:t>
      </w:r>
      <w:r>
        <w:rPr>
          <w:lang w:val="en-US"/>
        </w:rPr>
        <w:t xml:space="preserve"> </w:t>
      </w:r>
      <w:r w:rsidRPr="00523FF0">
        <w:rPr>
          <w:lang w:val="en-US"/>
        </w:rPr>
        <w:t>gene: forward–CTCAACCGCAACTTCAGCAACTTC,</w:t>
      </w:r>
      <w:r>
        <w:rPr>
          <w:lang w:val="en-US"/>
        </w:rPr>
        <w:t xml:space="preserve"> </w:t>
      </w:r>
      <w:r w:rsidRPr="00523FF0">
        <w:rPr>
          <w:lang w:val="en-US"/>
        </w:rPr>
        <w:t>reverse–AGAGAGGATAAAGGCGTCCATCAT.</w:t>
      </w:r>
      <w:r>
        <w:rPr>
          <w:lang w:val="en-US"/>
        </w:rPr>
        <w:t xml:space="preserve"> </w:t>
      </w:r>
      <w:r w:rsidRPr="00523FF0">
        <w:rPr>
          <w:lang w:val="en-US"/>
        </w:rPr>
        <w:t>Each specimen was analyzed in three</w:t>
      </w:r>
      <w:r>
        <w:rPr>
          <w:lang w:val="en-US"/>
        </w:rPr>
        <w:t xml:space="preserve"> </w:t>
      </w:r>
      <w:r w:rsidRPr="00523FF0">
        <w:rPr>
          <w:lang w:val="en-US"/>
        </w:rPr>
        <w:t>repeats. Statistical significance of the differences</w:t>
      </w:r>
      <w:r>
        <w:rPr>
          <w:lang w:val="en-US"/>
        </w:rPr>
        <w:t xml:space="preserve"> </w:t>
      </w:r>
      <w:r w:rsidRPr="00523FF0">
        <w:rPr>
          <w:lang w:val="en-US"/>
        </w:rPr>
        <w:t>between the specimens was estimated using the REST</w:t>
      </w:r>
      <w:r>
        <w:rPr>
          <w:lang w:val="en-US"/>
        </w:rPr>
        <w:t xml:space="preserve"> </w:t>
      </w:r>
      <w:r w:rsidRPr="00523FF0">
        <w:rPr>
          <w:lang w:val="en-US"/>
        </w:rPr>
        <w:t>software (</w:t>
      </w:r>
      <w:proofErr w:type="spellStart"/>
      <w:r w:rsidRPr="00523FF0">
        <w:rPr>
          <w:lang w:val="en-US"/>
        </w:rPr>
        <w:t>Qiagen</w:t>
      </w:r>
      <w:proofErr w:type="spellEnd"/>
      <w:r w:rsidRPr="00523FF0">
        <w:rPr>
          <w:lang w:val="en-US"/>
        </w:rPr>
        <w:t>, United States) [16]. A P-value of</w:t>
      </w:r>
      <w:r>
        <w:rPr>
          <w:lang w:val="en-US"/>
        </w:rPr>
        <w:t xml:space="preserve"> </w:t>
      </w:r>
      <w:r w:rsidRPr="00523FF0">
        <w:rPr>
          <w:lang w:val="en-US"/>
        </w:rPr>
        <w:t>less than 0.05 was considered significant.</w:t>
      </w:r>
    </w:p>
    <w:p w:rsidR="00523FF0" w:rsidRDefault="00523FF0" w:rsidP="007303B4">
      <w:pPr>
        <w:spacing w:line="360" w:lineRule="auto"/>
        <w:ind w:firstLine="709"/>
        <w:jc w:val="both"/>
        <w:rPr>
          <w:lang w:val="en-US"/>
        </w:rPr>
      </w:pPr>
      <w:r w:rsidRPr="0093477D">
        <w:rPr>
          <w:b/>
          <w:i/>
          <w:lang w:val="en-US"/>
        </w:rPr>
        <w:t>Western blotting.</w:t>
      </w:r>
      <w:r w:rsidRPr="00523FF0">
        <w:rPr>
          <w:i/>
          <w:lang w:val="en-US"/>
        </w:rPr>
        <w:t xml:space="preserve"> </w:t>
      </w:r>
      <w:r w:rsidRPr="00523FF0">
        <w:rPr>
          <w:lang w:val="en-US"/>
        </w:rPr>
        <w:t xml:space="preserve">Total cell protein was </w:t>
      </w:r>
      <w:proofErr w:type="spellStart"/>
      <w:r w:rsidRPr="00523FF0">
        <w:rPr>
          <w:lang w:val="en-US"/>
        </w:rPr>
        <w:t>lysed</w:t>
      </w:r>
      <w:proofErr w:type="spellEnd"/>
      <w:r w:rsidRPr="00523FF0">
        <w:rPr>
          <w:lang w:val="en-US"/>
        </w:rPr>
        <w:t xml:space="preserve"> in a</w:t>
      </w:r>
      <w:r>
        <w:rPr>
          <w:lang w:val="en-US"/>
        </w:rPr>
        <w:t xml:space="preserve"> </w:t>
      </w:r>
      <w:proofErr w:type="spellStart"/>
      <w:r w:rsidRPr="00523FF0">
        <w:rPr>
          <w:lang w:val="en-US"/>
        </w:rPr>
        <w:t>Lammley</w:t>
      </w:r>
      <w:proofErr w:type="spellEnd"/>
      <w:r w:rsidRPr="00523FF0">
        <w:rPr>
          <w:lang w:val="en-US"/>
        </w:rPr>
        <w:t xml:space="preserve"> buffer (10% SDS, 50 </w:t>
      </w:r>
      <w:proofErr w:type="spellStart"/>
      <w:r w:rsidRPr="00523FF0">
        <w:rPr>
          <w:lang w:val="en-US"/>
        </w:rPr>
        <w:t>mM</w:t>
      </w:r>
      <w:proofErr w:type="spellEnd"/>
      <w:r w:rsidRPr="00523FF0">
        <w:rPr>
          <w:lang w:val="en-US"/>
        </w:rPr>
        <w:t xml:space="preserve"> </w:t>
      </w:r>
      <w:proofErr w:type="spellStart"/>
      <w:r w:rsidRPr="00523FF0">
        <w:rPr>
          <w:lang w:val="en-US"/>
        </w:rPr>
        <w:t>Tris-HCl</w:t>
      </w:r>
      <w:proofErr w:type="spellEnd"/>
      <w:r w:rsidRPr="00523FF0">
        <w:rPr>
          <w:lang w:val="en-US"/>
        </w:rPr>
        <w:t xml:space="preserve"> pH 6.8,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25% glycerol, 0.05% </w:t>
      </w:r>
      <w:proofErr w:type="spellStart"/>
      <w:r w:rsidRPr="00523FF0">
        <w:rPr>
          <w:lang w:val="en-US"/>
        </w:rPr>
        <w:t>bromophenol</w:t>
      </w:r>
      <w:proofErr w:type="spellEnd"/>
      <w:r w:rsidRPr="00523FF0">
        <w:rPr>
          <w:lang w:val="en-US"/>
        </w:rPr>
        <w:t xml:space="preserve"> blue, and 6%</w:t>
      </w:r>
      <w:r>
        <w:rPr>
          <w:lang w:val="en-US"/>
        </w:rPr>
        <w:t xml:space="preserve"> </w:t>
      </w:r>
      <w:r w:rsidRPr="00523FF0">
        <w:rPr>
          <w:lang w:val="en-US"/>
        </w:rPr>
        <w:t>2-mercaptoethanol). Protein mixture was separated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by SDS </w:t>
      </w:r>
      <w:proofErr w:type="spellStart"/>
      <w:r w:rsidRPr="00523FF0">
        <w:rPr>
          <w:lang w:val="en-US"/>
        </w:rPr>
        <w:t>polyacrylamide</w:t>
      </w:r>
      <w:proofErr w:type="spellEnd"/>
      <w:r w:rsidRPr="00523FF0">
        <w:rPr>
          <w:lang w:val="en-US"/>
        </w:rPr>
        <w:t xml:space="preserve"> gel electrophoresis using the</w:t>
      </w:r>
      <w:r>
        <w:rPr>
          <w:lang w:val="en-US"/>
        </w:rPr>
        <w:t xml:space="preserve"> </w:t>
      </w:r>
      <w:r w:rsidRPr="00523FF0">
        <w:rPr>
          <w:lang w:val="en-US"/>
        </w:rPr>
        <w:t>Mini Trans-Blot cell (Bio-Rad, United States) as recommended</w:t>
      </w:r>
      <w:r>
        <w:rPr>
          <w:lang w:val="en-US"/>
        </w:rPr>
        <w:t xml:space="preserve"> </w:t>
      </w:r>
      <w:r w:rsidRPr="00523FF0">
        <w:rPr>
          <w:lang w:val="en-US"/>
        </w:rPr>
        <w:t>by the manufacturer’s protocol; proteins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were </w:t>
      </w:r>
      <w:r w:rsidRPr="00523FF0">
        <w:rPr>
          <w:lang w:val="en-US"/>
        </w:rPr>
        <w:lastRenderedPageBreak/>
        <w:t xml:space="preserve">transferred to a </w:t>
      </w:r>
      <w:proofErr w:type="spellStart"/>
      <w:r w:rsidRPr="00523FF0">
        <w:rPr>
          <w:lang w:val="en-US"/>
        </w:rPr>
        <w:t>Hybond</w:t>
      </w:r>
      <w:proofErr w:type="spellEnd"/>
      <w:r w:rsidRPr="00523FF0">
        <w:rPr>
          <w:lang w:val="en-US"/>
        </w:rPr>
        <w:t xml:space="preserve"> ECL membrane (Sigma</w:t>
      </w:r>
      <w:r>
        <w:rPr>
          <w:lang w:val="en-US"/>
        </w:rPr>
        <w:t xml:space="preserve"> </w:t>
      </w:r>
      <w:r w:rsidRPr="00523FF0">
        <w:rPr>
          <w:lang w:val="en-US"/>
        </w:rPr>
        <w:t>Aldrich, United States). The membrane was incubated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in a TBS-T buffer (10 </w:t>
      </w:r>
      <w:proofErr w:type="spellStart"/>
      <w:r w:rsidRPr="00523FF0">
        <w:rPr>
          <w:lang w:val="en-US"/>
        </w:rPr>
        <w:t>mM</w:t>
      </w:r>
      <w:proofErr w:type="spellEnd"/>
      <w:r w:rsidRPr="00523FF0">
        <w:rPr>
          <w:lang w:val="en-US"/>
        </w:rPr>
        <w:t xml:space="preserve"> </w:t>
      </w:r>
      <w:proofErr w:type="spellStart"/>
      <w:r w:rsidRPr="00523FF0">
        <w:rPr>
          <w:lang w:val="en-US"/>
        </w:rPr>
        <w:t>Tris-HCl</w:t>
      </w:r>
      <w:proofErr w:type="spellEnd"/>
      <w:r w:rsidRPr="00523FF0">
        <w:rPr>
          <w:lang w:val="en-US"/>
        </w:rPr>
        <w:t xml:space="preserve"> pH 7.4,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150 </w:t>
      </w:r>
      <w:proofErr w:type="spellStart"/>
      <w:r w:rsidRPr="00523FF0">
        <w:rPr>
          <w:lang w:val="en-US"/>
        </w:rPr>
        <w:t>mM</w:t>
      </w:r>
      <w:proofErr w:type="spellEnd"/>
      <w:r w:rsidRPr="00523FF0">
        <w:rPr>
          <w:lang w:val="en-US"/>
        </w:rPr>
        <w:t xml:space="preserve"> </w:t>
      </w:r>
      <w:proofErr w:type="spellStart"/>
      <w:r w:rsidRPr="00523FF0">
        <w:rPr>
          <w:lang w:val="en-US"/>
        </w:rPr>
        <w:t>NaCl</w:t>
      </w:r>
      <w:proofErr w:type="spellEnd"/>
      <w:r w:rsidRPr="00523FF0">
        <w:rPr>
          <w:lang w:val="en-US"/>
        </w:rPr>
        <w:t xml:space="preserve">, and 0.1% </w:t>
      </w:r>
      <w:proofErr w:type="spellStart"/>
      <w:r w:rsidRPr="00523FF0">
        <w:rPr>
          <w:lang w:val="en-US"/>
        </w:rPr>
        <w:t>Tween</w:t>
      </w:r>
      <w:proofErr w:type="spellEnd"/>
      <w:r w:rsidRPr="00523FF0">
        <w:rPr>
          <w:lang w:val="en-US"/>
        </w:rPr>
        <w:t xml:space="preserve"> 20) containing 2%</w:t>
      </w:r>
      <w:r>
        <w:rPr>
          <w:lang w:val="en-US"/>
        </w:rPr>
        <w:t xml:space="preserve"> </w:t>
      </w:r>
      <w:r w:rsidRPr="00523FF0">
        <w:rPr>
          <w:lang w:val="en-US"/>
        </w:rPr>
        <w:t>BSA for 1 h and then incubated with primary antibodies</w:t>
      </w:r>
      <w:r>
        <w:rPr>
          <w:lang w:val="en-US"/>
        </w:rPr>
        <w:t xml:space="preserve"> </w:t>
      </w:r>
      <w:r w:rsidRPr="00523FF0">
        <w:rPr>
          <w:lang w:val="en-US"/>
        </w:rPr>
        <w:t>at 4°C overnight (antibodies to AHR were D5S6H,</w:t>
      </w:r>
      <w:r>
        <w:rPr>
          <w:lang w:val="en-US"/>
        </w:rPr>
        <w:t xml:space="preserve"> </w:t>
      </w:r>
      <w:r w:rsidRPr="00523FF0">
        <w:rPr>
          <w:lang w:val="en-US"/>
        </w:rPr>
        <w:t>Cell Signaling Technology, United States, 1 : 7000;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antibodies to GAPDH were ab9385, </w:t>
      </w:r>
      <w:proofErr w:type="spellStart"/>
      <w:r w:rsidRPr="00523FF0">
        <w:rPr>
          <w:lang w:val="en-US"/>
        </w:rPr>
        <w:t>Abcam</w:t>
      </w:r>
      <w:proofErr w:type="spellEnd"/>
      <w:r w:rsidRPr="00523FF0">
        <w:rPr>
          <w:lang w:val="en-US"/>
        </w:rPr>
        <w:t>, United</w:t>
      </w:r>
      <w:r>
        <w:rPr>
          <w:lang w:val="en-US"/>
        </w:rPr>
        <w:t xml:space="preserve"> </w:t>
      </w:r>
      <w:r w:rsidRPr="00523FF0">
        <w:rPr>
          <w:lang w:val="en-US"/>
        </w:rPr>
        <w:t>Kingdom, 1 : 10000). Subsequently, the membrane</w:t>
      </w:r>
      <w:r>
        <w:rPr>
          <w:lang w:val="en-US"/>
        </w:rPr>
        <w:t xml:space="preserve"> </w:t>
      </w:r>
      <w:r w:rsidRPr="00523FF0">
        <w:rPr>
          <w:lang w:val="en-US"/>
        </w:rPr>
        <w:t>was washed with TBS-T buffer thrice within 20 min</w:t>
      </w:r>
      <w:r>
        <w:rPr>
          <w:lang w:val="en-US"/>
        </w:rPr>
        <w:t xml:space="preserve"> </w:t>
      </w:r>
      <w:r w:rsidRPr="00523FF0">
        <w:rPr>
          <w:lang w:val="en-US"/>
        </w:rPr>
        <w:t>each time and incubated with secondary antibodies</w:t>
      </w:r>
      <w:r>
        <w:rPr>
          <w:lang w:val="en-US"/>
        </w:rPr>
        <w:t xml:space="preserve"> </w:t>
      </w:r>
      <w:r w:rsidRPr="00523FF0">
        <w:rPr>
          <w:lang w:val="en-US"/>
        </w:rPr>
        <w:t>(С1313, Santa Cruz, United States, 1 : 12000) for 2 h</w:t>
      </w:r>
      <w:r>
        <w:rPr>
          <w:lang w:val="en-US"/>
        </w:rPr>
        <w:t xml:space="preserve"> </w:t>
      </w:r>
      <w:r w:rsidRPr="00523FF0">
        <w:rPr>
          <w:lang w:val="en-US"/>
        </w:rPr>
        <w:t xml:space="preserve">at room temperature. </w:t>
      </w:r>
      <w:proofErr w:type="spellStart"/>
      <w:r w:rsidRPr="00523FF0">
        <w:rPr>
          <w:lang w:val="en-US"/>
        </w:rPr>
        <w:t>Immunocomplexes</w:t>
      </w:r>
      <w:proofErr w:type="spellEnd"/>
      <w:r w:rsidRPr="00523FF0">
        <w:rPr>
          <w:lang w:val="en-US"/>
        </w:rPr>
        <w:t xml:space="preserve"> were</w:t>
      </w:r>
      <w:r>
        <w:rPr>
          <w:lang w:val="en-US"/>
        </w:rPr>
        <w:t xml:space="preserve"> </w:t>
      </w:r>
      <w:r w:rsidRPr="00523FF0">
        <w:rPr>
          <w:lang w:val="en-US"/>
        </w:rPr>
        <w:t>detected using the ECL Advance Western Blotting</w:t>
      </w:r>
      <w:r>
        <w:rPr>
          <w:lang w:val="en-US"/>
        </w:rPr>
        <w:t xml:space="preserve"> </w:t>
      </w:r>
      <w:r w:rsidRPr="00523FF0">
        <w:rPr>
          <w:lang w:val="en-US"/>
        </w:rPr>
        <w:t>Detection Kit (Sigma Aldrich, United States).</w:t>
      </w:r>
      <w:r>
        <w:rPr>
          <w:lang w:val="en-US"/>
        </w:rPr>
        <w:t xml:space="preserve"> </w:t>
      </w:r>
    </w:p>
    <w:p w:rsidR="00523FF0" w:rsidRDefault="00523FF0" w:rsidP="007303B4">
      <w:pPr>
        <w:spacing w:line="360" w:lineRule="auto"/>
        <w:ind w:firstLine="709"/>
        <w:jc w:val="both"/>
        <w:rPr>
          <w:lang w:val="en-US"/>
        </w:rPr>
      </w:pPr>
    </w:p>
    <w:p w:rsidR="00523FF0" w:rsidRPr="00523FF0" w:rsidRDefault="00523FF0" w:rsidP="00523FF0">
      <w:pPr>
        <w:spacing w:line="360" w:lineRule="auto"/>
        <w:ind w:firstLine="709"/>
        <w:jc w:val="both"/>
        <w:rPr>
          <w:b/>
          <w:color w:val="000000"/>
          <w:lang w:val="en-US"/>
        </w:rPr>
      </w:pPr>
      <w:r w:rsidRPr="00523FF0">
        <w:rPr>
          <w:b/>
          <w:color w:val="000000"/>
          <w:lang w:val="en-US"/>
        </w:rPr>
        <w:t xml:space="preserve">Results </w:t>
      </w:r>
      <w:r>
        <w:rPr>
          <w:b/>
          <w:color w:val="000000"/>
          <w:lang w:val="en-US"/>
        </w:rPr>
        <w:t>a</w:t>
      </w:r>
      <w:r w:rsidRPr="00523FF0">
        <w:rPr>
          <w:b/>
          <w:color w:val="000000"/>
          <w:lang w:val="en-US"/>
        </w:rPr>
        <w:t>nd Discussion</w:t>
      </w:r>
    </w:p>
    <w:p w:rsidR="00523FF0" w:rsidRPr="00523FF0" w:rsidRDefault="00523FF0" w:rsidP="00523FF0">
      <w:pPr>
        <w:spacing w:line="360" w:lineRule="auto"/>
        <w:ind w:firstLine="709"/>
        <w:jc w:val="both"/>
        <w:rPr>
          <w:color w:val="000000"/>
          <w:lang w:val="en-US"/>
        </w:rPr>
      </w:pPr>
      <w:r w:rsidRPr="00523FF0">
        <w:rPr>
          <w:color w:val="000000"/>
          <w:lang w:val="en-US"/>
        </w:rPr>
        <w:t>Three primary cultures were obtained from biopsy</w:t>
      </w:r>
      <w:r w:rsidR="00F67D25">
        <w:rPr>
          <w:color w:val="000000"/>
          <w:lang w:val="en-US"/>
        </w:rPr>
        <w:t xml:space="preserve"> </w:t>
      </w:r>
      <w:r w:rsidRPr="00523FF0">
        <w:rPr>
          <w:color w:val="000000"/>
          <w:lang w:val="en-US"/>
        </w:rPr>
        <w:t xml:space="preserve">material of human malignant bone tumor </w:t>
      </w:r>
      <w:proofErr w:type="spellStart"/>
      <w:r w:rsidRPr="00523FF0">
        <w:rPr>
          <w:color w:val="000000"/>
          <w:lang w:val="en-US"/>
        </w:rPr>
        <w:t>osteosarcoma</w:t>
      </w:r>
      <w:proofErr w:type="spellEnd"/>
      <w:r w:rsidR="00F67D25">
        <w:rPr>
          <w:color w:val="000000"/>
          <w:lang w:val="en-US"/>
        </w:rPr>
        <w:t xml:space="preserve"> </w:t>
      </w:r>
      <w:r w:rsidRPr="00523FF0">
        <w:rPr>
          <w:color w:val="000000"/>
          <w:lang w:val="en-US"/>
        </w:rPr>
        <w:t>(O.src 25/16, O.src 17/18, and O.src 20/18).</w:t>
      </w:r>
      <w:r w:rsidR="00F67D25">
        <w:rPr>
          <w:color w:val="000000"/>
          <w:lang w:val="en-US"/>
        </w:rPr>
        <w:t xml:space="preserve"> </w:t>
      </w:r>
      <w:proofErr w:type="spellStart"/>
      <w:r w:rsidRPr="00523FF0">
        <w:rPr>
          <w:color w:val="000000"/>
          <w:lang w:val="en-US"/>
        </w:rPr>
        <w:t>Osteosarcoma</w:t>
      </w:r>
      <w:proofErr w:type="spellEnd"/>
      <w:r w:rsidRPr="00523FF0">
        <w:rPr>
          <w:color w:val="000000"/>
          <w:lang w:val="en-US"/>
        </w:rPr>
        <w:t xml:space="preserve"> cultures had an increased content of</w:t>
      </w:r>
      <w:r w:rsidR="00F67D25">
        <w:rPr>
          <w:color w:val="000000"/>
          <w:lang w:val="en-US"/>
        </w:rPr>
        <w:t xml:space="preserve"> </w:t>
      </w:r>
      <w:r w:rsidRPr="00523FF0">
        <w:rPr>
          <w:color w:val="000000"/>
          <w:lang w:val="en-US"/>
        </w:rPr>
        <w:t>AHR protein compared to noncancerous cells</w:t>
      </w:r>
      <w:r w:rsidR="00F67D25">
        <w:rPr>
          <w:color w:val="000000"/>
          <w:lang w:val="en-US"/>
        </w:rPr>
        <w:t xml:space="preserve"> </w:t>
      </w:r>
      <w:r w:rsidRPr="00F67D25">
        <w:rPr>
          <w:color w:val="000000"/>
          <w:lang w:val="en-US"/>
        </w:rPr>
        <w:t xml:space="preserve">HEK293 and MSC (Fig. 1). </w:t>
      </w:r>
    </w:p>
    <w:p w:rsidR="00F67D25" w:rsidRDefault="00F67D25" w:rsidP="00F67D25">
      <w:pPr>
        <w:spacing w:line="360" w:lineRule="auto"/>
        <w:ind w:firstLine="709"/>
        <w:jc w:val="both"/>
        <w:rPr>
          <w:lang w:val="en-US"/>
        </w:rPr>
      </w:pPr>
      <w:r w:rsidRPr="00F67D25">
        <w:rPr>
          <w:lang w:val="en-US"/>
        </w:rPr>
        <w:t>In addition, we compared the initial CYP1 mRNA</w:t>
      </w:r>
      <w:r>
        <w:rPr>
          <w:lang w:val="en-US"/>
        </w:rPr>
        <w:t xml:space="preserve"> </w:t>
      </w:r>
      <w:r w:rsidRPr="00F67D25">
        <w:rPr>
          <w:lang w:val="en-US"/>
        </w:rPr>
        <w:t xml:space="preserve">level in </w:t>
      </w:r>
      <w:proofErr w:type="spellStart"/>
      <w:r w:rsidRPr="00F67D25">
        <w:rPr>
          <w:lang w:val="en-US"/>
        </w:rPr>
        <w:t>osteosarcoma</w:t>
      </w:r>
      <w:proofErr w:type="spellEnd"/>
      <w:r w:rsidRPr="00F67D25">
        <w:rPr>
          <w:lang w:val="en-US"/>
        </w:rPr>
        <w:t xml:space="preserve"> cell cultures without AHR activation</w:t>
      </w:r>
      <w:r>
        <w:rPr>
          <w:lang w:val="en-US"/>
        </w:rPr>
        <w:t xml:space="preserve"> </w:t>
      </w:r>
      <w:r w:rsidRPr="00F67D25">
        <w:rPr>
          <w:lang w:val="en-US"/>
        </w:rPr>
        <w:t xml:space="preserve">by </w:t>
      </w:r>
      <w:proofErr w:type="spellStart"/>
      <w:r w:rsidRPr="00F67D25">
        <w:rPr>
          <w:lang w:val="en-US"/>
        </w:rPr>
        <w:t>ligands</w:t>
      </w:r>
      <w:proofErr w:type="spellEnd"/>
      <w:r w:rsidRPr="00F67D25">
        <w:rPr>
          <w:lang w:val="en-US"/>
        </w:rPr>
        <w:t>. The CYP1A1 gene showed the highest</w:t>
      </w:r>
      <w:r>
        <w:rPr>
          <w:lang w:val="en-US"/>
        </w:rPr>
        <w:t xml:space="preserve"> </w:t>
      </w:r>
      <w:r w:rsidRPr="00F67D25">
        <w:rPr>
          <w:lang w:val="en-US"/>
        </w:rPr>
        <w:t>expression level in O.src20/18, the CYP1A2 gene in</w:t>
      </w:r>
      <w:r>
        <w:rPr>
          <w:lang w:val="en-US"/>
        </w:rPr>
        <w:t xml:space="preserve"> </w:t>
      </w:r>
      <w:r w:rsidRPr="00F67D25">
        <w:rPr>
          <w:lang w:val="en-US"/>
        </w:rPr>
        <w:t>O.src17/18, and the CYP1B gene in culture O.src25/16</w:t>
      </w:r>
      <w:r>
        <w:rPr>
          <w:lang w:val="en-US"/>
        </w:rPr>
        <w:t xml:space="preserve"> </w:t>
      </w:r>
      <w:r w:rsidRPr="00F67D25">
        <w:rPr>
          <w:lang w:val="en-US"/>
        </w:rPr>
        <w:t>(Fig. 2).</w:t>
      </w:r>
      <w:r>
        <w:rPr>
          <w:lang w:val="en-US"/>
        </w:rPr>
        <w:t xml:space="preserve"> </w:t>
      </w:r>
      <w:r w:rsidRPr="00F67D25">
        <w:rPr>
          <w:lang w:val="en-US"/>
        </w:rPr>
        <w:t>The functional activity of AHR was assessed from</w:t>
      </w:r>
      <w:r>
        <w:rPr>
          <w:lang w:val="en-US"/>
        </w:rPr>
        <w:t xml:space="preserve"> </w:t>
      </w:r>
      <w:r w:rsidRPr="00F67D25">
        <w:rPr>
          <w:lang w:val="en-US"/>
        </w:rPr>
        <w:t xml:space="preserve">changes in the expression of </w:t>
      </w:r>
      <w:proofErr w:type="spellStart"/>
      <w:r w:rsidRPr="00F67D25">
        <w:rPr>
          <w:lang w:val="en-US"/>
        </w:rPr>
        <w:t>cytochrome</w:t>
      </w:r>
      <w:proofErr w:type="spellEnd"/>
      <w:r w:rsidRPr="00F67D25">
        <w:rPr>
          <w:lang w:val="en-US"/>
        </w:rPr>
        <w:t xml:space="preserve"> P450 family</w:t>
      </w:r>
      <w:r>
        <w:rPr>
          <w:lang w:val="en-US"/>
        </w:rPr>
        <w:t xml:space="preserve"> </w:t>
      </w:r>
      <w:r w:rsidRPr="00F67D25">
        <w:rPr>
          <w:lang w:val="en-US"/>
        </w:rPr>
        <w:t>1 genes (CYP1A1, CYP1A2, and CYP1B) after exposure</w:t>
      </w:r>
      <w:r>
        <w:rPr>
          <w:lang w:val="en-US"/>
        </w:rPr>
        <w:t xml:space="preserve"> </w:t>
      </w:r>
      <w:r w:rsidRPr="00F67D25">
        <w:rPr>
          <w:lang w:val="en-US"/>
        </w:rPr>
        <w:t xml:space="preserve">of the cells to AHR known exogenous </w:t>
      </w:r>
      <w:proofErr w:type="spellStart"/>
      <w:r w:rsidRPr="00F67D25">
        <w:rPr>
          <w:lang w:val="en-US"/>
        </w:rPr>
        <w:t>ligands</w:t>
      </w:r>
      <w:proofErr w:type="spellEnd"/>
      <w:r w:rsidRPr="00F67D25">
        <w:rPr>
          <w:lang w:val="en-US"/>
        </w:rPr>
        <w:t>, i.e.,</w:t>
      </w:r>
      <w:r>
        <w:rPr>
          <w:lang w:val="en-US"/>
        </w:rPr>
        <w:t xml:space="preserve"> </w:t>
      </w:r>
      <w:proofErr w:type="spellStart"/>
      <w:r w:rsidRPr="00F67D25">
        <w:rPr>
          <w:lang w:val="en-US"/>
        </w:rPr>
        <w:t>indirubin</w:t>
      </w:r>
      <w:proofErr w:type="spellEnd"/>
      <w:r w:rsidRPr="00F67D25">
        <w:rPr>
          <w:lang w:val="en-US"/>
        </w:rPr>
        <w:t xml:space="preserve"> and indole-3-carbinol.</w:t>
      </w:r>
      <w:r>
        <w:rPr>
          <w:lang w:val="en-US"/>
        </w:rPr>
        <w:t xml:space="preserve"> </w:t>
      </w:r>
    </w:p>
    <w:p w:rsidR="0093477D" w:rsidRDefault="0093477D" w:rsidP="0093477D">
      <w:pPr>
        <w:spacing w:line="360" w:lineRule="auto"/>
        <w:ind w:firstLine="709"/>
        <w:jc w:val="both"/>
        <w:rPr>
          <w:lang w:val="en-US"/>
        </w:rPr>
      </w:pPr>
      <w:r w:rsidRPr="0093477D">
        <w:rPr>
          <w:lang w:val="en-US"/>
        </w:rPr>
        <w:t>In our comparative experiments, it was shown that</w:t>
      </w:r>
      <w:r>
        <w:rPr>
          <w:lang w:val="en-US"/>
        </w:rPr>
        <w:t xml:space="preserve"> </w:t>
      </w:r>
      <w:r w:rsidRPr="0093477D">
        <w:rPr>
          <w:lang w:val="en-US"/>
        </w:rPr>
        <w:t>the aryl hydrocarbon receptor was functionally active</w:t>
      </w:r>
      <w:r>
        <w:rPr>
          <w:lang w:val="en-US"/>
        </w:rPr>
        <w:t xml:space="preserve"> </w:t>
      </w:r>
      <w:r w:rsidRPr="0093477D">
        <w:rPr>
          <w:lang w:val="en-US"/>
        </w:rPr>
        <w:t xml:space="preserve">in most cases as a </w:t>
      </w:r>
      <w:proofErr w:type="spellStart"/>
      <w:r w:rsidRPr="0093477D">
        <w:rPr>
          <w:lang w:val="en-US"/>
        </w:rPr>
        <w:t>ligand</w:t>
      </w:r>
      <w:proofErr w:type="spellEnd"/>
      <w:r w:rsidRPr="0093477D">
        <w:rPr>
          <w:lang w:val="en-US"/>
        </w:rPr>
        <w:t>-dependent transcription factor</w:t>
      </w:r>
      <w:r>
        <w:rPr>
          <w:lang w:val="en-US"/>
        </w:rPr>
        <w:t xml:space="preserve"> </w:t>
      </w:r>
      <w:r w:rsidRPr="0093477D">
        <w:rPr>
          <w:lang w:val="en-US"/>
        </w:rPr>
        <w:t xml:space="preserve">of the CYP family target genes in primary </w:t>
      </w:r>
      <w:proofErr w:type="spellStart"/>
      <w:r w:rsidRPr="0093477D">
        <w:rPr>
          <w:lang w:val="en-US"/>
        </w:rPr>
        <w:t>osteosarcoma</w:t>
      </w:r>
      <w:proofErr w:type="spellEnd"/>
      <w:r>
        <w:rPr>
          <w:lang w:val="en-US"/>
        </w:rPr>
        <w:t xml:space="preserve"> </w:t>
      </w:r>
      <w:r w:rsidRPr="0093477D">
        <w:rPr>
          <w:lang w:val="en-US"/>
        </w:rPr>
        <w:t>cell cultures. Interestingly, the target genes of</w:t>
      </w:r>
      <w:r>
        <w:rPr>
          <w:lang w:val="en-US"/>
        </w:rPr>
        <w:t xml:space="preserve"> </w:t>
      </w:r>
      <w:r w:rsidRPr="0093477D">
        <w:rPr>
          <w:lang w:val="en-US"/>
        </w:rPr>
        <w:t xml:space="preserve">the </w:t>
      </w:r>
      <w:proofErr w:type="spellStart"/>
      <w:r w:rsidRPr="0093477D">
        <w:rPr>
          <w:lang w:val="en-US"/>
        </w:rPr>
        <w:t>cytochrome</w:t>
      </w:r>
      <w:proofErr w:type="spellEnd"/>
      <w:r w:rsidRPr="0093477D">
        <w:rPr>
          <w:lang w:val="en-US"/>
        </w:rPr>
        <w:t xml:space="preserve"> P450 family CYP1, which participate</w:t>
      </w:r>
      <w:r>
        <w:rPr>
          <w:lang w:val="en-US"/>
        </w:rPr>
        <w:t xml:space="preserve"> </w:t>
      </w:r>
      <w:r w:rsidRPr="0093477D">
        <w:rPr>
          <w:lang w:val="en-US"/>
        </w:rPr>
        <w:t xml:space="preserve">in metabolism, were induced differently by </w:t>
      </w:r>
      <w:proofErr w:type="spellStart"/>
      <w:r w:rsidRPr="0093477D">
        <w:rPr>
          <w:lang w:val="en-US"/>
        </w:rPr>
        <w:t>ligand</w:t>
      </w:r>
      <w:proofErr w:type="spellEnd"/>
      <w:r>
        <w:rPr>
          <w:lang w:val="en-US"/>
        </w:rPr>
        <w:t xml:space="preserve"> </w:t>
      </w:r>
      <w:r w:rsidRPr="0093477D">
        <w:rPr>
          <w:lang w:val="en-US"/>
        </w:rPr>
        <w:t>treatment within the same cell culture. In addition,</w:t>
      </w:r>
      <w:r>
        <w:rPr>
          <w:lang w:val="en-US"/>
        </w:rPr>
        <w:t xml:space="preserve"> </w:t>
      </w:r>
      <w:r w:rsidRPr="0093477D">
        <w:rPr>
          <w:lang w:val="en-US"/>
        </w:rPr>
        <w:t>the intensity of activation of the same gene by different</w:t>
      </w:r>
      <w:r>
        <w:rPr>
          <w:lang w:val="en-US"/>
        </w:rPr>
        <w:t xml:space="preserve"> </w:t>
      </w:r>
      <w:proofErr w:type="spellStart"/>
      <w:r w:rsidRPr="0093477D">
        <w:rPr>
          <w:lang w:val="en-US"/>
        </w:rPr>
        <w:t>ligands</w:t>
      </w:r>
      <w:proofErr w:type="spellEnd"/>
      <w:r w:rsidRPr="0093477D">
        <w:rPr>
          <w:lang w:val="en-US"/>
        </w:rPr>
        <w:t xml:space="preserve"> was different.</w:t>
      </w:r>
      <w:r>
        <w:rPr>
          <w:lang w:val="en-US"/>
        </w:rPr>
        <w:t xml:space="preserve"> </w:t>
      </w:r>
    </w:p>
    <w:p w:rsidR="00F67D25" w:rsidRDefault="0093477D" w:rsidP="0093477D">
      <w:pPr>
        <w:spacing w:line="360" w:lineRule="auto"/>
        <w:ind w:firstLine="709"/>
        <w:jc w:val="both"/>
        <w:rPr>
          <w:lang w:val="en-US"/>
        </w:rPr>
      </w:pPr>
      <w:r w:rsidRPr="0093477D">
        <w:rPr>
          <w:lang w:val="en-US"/>
        </w:rPr>
        <w:t>It is possible that the effects of AHR activation in</w:t>
      </w:r>
      <w:r>
        <w:rPr>
          <w:lang w:val="en-US"/>
        </w:rPr>
        <w:t xml:space="preserve"> </w:t>
      </w:r>
      <w:proofErr w:type="spellStart"/>
      <w:r w:rsidRPr="0093477D">
        <w:rPr>
          <w:lang w:val="en-US"/>
        </w:rPr>
        <w:t>osteosarcoma</w:t>
      </w:r>
      <w:proofErr w:type="spellEnd"/>
      <w:r w:rsidRPr="0093477D">
        <w:rPr>
          <w:lang w:val="en-US"/>
        </w:rPr>
        <w:t xml:space="preserve"> cell cultures depend on other factors,</w:t>
      </w:r>
      <w:r>
        <w:rPr>
          <w:lang w:val="en-US"/>
        </w:rPr>
        <w:t xml:space="preserve"> </w:t>
      </w:r>
      <w:r w:rsidRPr="0093477D">
        <w:rPr>
          <w:lang w:val="en-US"/>
        </w:rPr>
        <w:t>such as the epigenetic status of its target genes and</w:t>
      </w:r>
      <w:r>
        <w:rPr>
          <w:lang w:val="en-US"/>
        </w:rPr>
        <w:t xml:space="preserve"> </w:t>
      </w:r>
      <w:r w:rsidRPr="0093477D">
        <w:rPr>
          <w:lang w:val="en-US"/>
        </w:rPr>
        <w:t xml:space="preserve">existence of unknown endogenous </w:t>
      </w:r>
      <w:proofErr w:type="spellStart"/>
      <w:r w:rsidRPr="0093477D">
        <w:rPr>
          <w:lang w:val="en-US"/>
        </w:rPr>
        <w:t>ligands</w:t>
      </w:r>
      <w:proofErr w:type="spellEnd"/>
      <w:r w:rsidRPr="0093477D">
        <w:rPr>
          <w:lang w:val="en-US"/>
        </w:rPr>
        <w:t>, which is a</w:t>
      </w:r>
      <w:r>
        <w:rPr>
          <w:lang w:val="en-US"/>
        </w:rPr>
        <w:t xml:space="preserve"> </w:t>
      </w:r>
      <w:r w:rsidRPr="0093477D">
        <w:rPr>
          <w:lang w:val="en-US"/>
        </w:rPr>
        <w:t>subject that demands further investigation.</w:t>
      </w:r>
    </w:p>
    <w:p w:rsidR="0093477D" w:rsidRDefault="0093477D" w:rsidP="0093477D">
      <w:pPr>
        <w:spacing w:line="360" w:lineRule="auto"/>
        <w:ind w:firstLine="709"/>
        <w:jc w:val="both"/>
        <w:rPr>
          <w:lang w:val="en-US"/>
        </w:rPr>
      </w:pPr>
    </w:p>
    <w:p w:rsidR="004C1F28" w:rsidRPr="0093477D" w:rsidRDefault="0093477D" w:rsidP="0093477D">
      <w:pPr>
        <w:spacing w:line="360" w:lineRule="auto"/>
        <w:ind w:firstLine="709"/>
        <w:jc w:val="both"/>
        <w:rPr>
          <w:lang w:val="en-US"/>
        </w:rPr>
      </w:pPr>
      <w:r w:rsidRPr="0093477D">
        <w:rPr>
          <w:lang w:val="en-US"/>
        </w:rPr>
        <w:t>This work has been funded by Government program of</w:t>
      </w:r>
      <w:r>
        <w:rPr>
          <w:lang w:val="en-US"/>
        </w:rPr>
        <w:t xml:space="preserve"> </w:t>
      </w:r>
      <w:r w:rsidRPr="0093477D">
        <w:rPr>
          <w:lang w:val="en-US"/>
        </w:rPr>
        <w:t xml:space="preserve">basic research in </w:t>
      </w:r>
      <w:proofErr w:type="spellStart"/>
      <w:r w:rsidRPr="0093477D">
        <w:rPr>
          <w:lang w:val="en-US"/>
        </w:rPr>
        <w:t>Koltzov</w:t>
      </w:r>
      <w:proofErr w:type="spellEnd"/>
      <w:r w:rsidRPr="0093477D">
        <w:rPr>
          <w:lang w:val="en-US"/>
        </w:rPr>
        <w:t xml:space="preserve"> Institute of Developmental Biology</w:t>
      </w:r>
      <w:r>
        <w:rPr>
          <w:lang w:val="en-US"/>
        </w:rPr>
        <w:t xml:space="preserve"> </w:t>
      </w:r>
      <w:r w:rsidRPr="0093477D">
        <w:rPr>
          <w:lang w:val="en-US"/>
        </w:rPr>
        <w:t>of the Russian Academy of Sciences in 2020 no. 0108-2019-0001.</w:t>
      </w:r>
      <w:r>
        <w:rPr>
          <w:lang w:val="en-US"/>
        </w:rPr>
        <w:t xml:space="preserve"> </w:t>
      </w:r>
      <w:r w:rsidRPr="0093477D">
        <w:rPr>
          <w:lang w:val="en-US"/>
        </w:rPr>
        <w:t>The authors declare that they have no conflict of interests.</w:t>
      </w:r>
      <w:r>
        <w:rPr>
          <w:lang w:val="en-US"/>
        </w:rPr>
        <w:t xml:space="preserve"> </w:t>
      </w:r>
      <w:r w:rsidRPr="0093477D">
        <w:rPr>
          <w:lang w:val="en-US"/>
        </w:rPr>
        <w:t>The experiments were conducted in compliance with</w:t>
      </w:r>
      <w:r>
        <w:rPr>
          <w:lang w:val="en-US"/>
        </w:rPr>
        <w:t xml:space="preserve"> </w:t>
      </w:r>
      <w:r w:rsidRPr="0093477D">
        <w:rPr>
          <w:lang w:val="en-US"/>
        </w:rPr>
        <w:t>the Ethical Guidelines for Working with Human Material,</w:t>
      </w:r>
      <w:r>
        <w:rPr>
          <w:lang w:val="en-US"/>
        </w:rPr>
        <w:t xml:space="preserve"> </w:t>
      </w:r>
      <w:r w:rsidRPr="0093477D">
        <w:rPr>
          <w:lang w:val="en-US"/>
        </w:rPr>
        <w:t xml:space="preserve">which were </w:t>
      </w:r>
      <w:r w:rsidRPr="0093477D">
        <w:rPr>
          <w:lang w:val="en-US"/>
        </w:rPr>
        <w:lastRenderedPageBreak/>
        <w:t>developed by the Ethics Committee (</w:t>
      </w:r>
      <w:proofErr w:type="spellStart"/>
      <w:r w:rsidRPr="0093477D">
        <w:rPr>
          <w:lang w:val="en-US"/>
        </w:rPr>
        <w:t>Koltsov</w:t>
      </w:r>
      <w:proofErr w:type="spellEnd"/>
      <w:r>
        <w:rPr>
          <w:lang w:val="en-US"/>
        </w:rPr>
        <w:t xml:space="preserve"> </w:t>
      </w:r>
      <w:r w:rsidRPr="0093477D">
        <w:rPr>
          <w:lang w:val="en-US"/>
        </w:rPr>
        <w:t>Institute of Developmental Biology, Russian Academy of</w:t>
      </w:r>
      <w:r>
        <w:rPr>
          <w:lang w:val="en-US"/>
        </w:rPr>
        <w:t xml:space="preserve"> </w:t>
      </w:r>
      <w:r w:rsidRPr="0093477D">
        <w:rPr>
          <w:lang w:val="en-US"/>
        </w:rPr>
        <w:t>Sciences).</w:t>
      </w:r>
    </w:p>
    <w:p w:rsidR="00970743" w:rsidRPr="0093477D" w:rsidRDefault="00970743" w:rsidP="00050E04">
      <w:pPr>
        <w:spacing w:line="360" w:lineRule="auto"/>
        <w:ind w:firstLine="709"/>
        <w:jc w:val="both"/>
        <w:rPr>
          <w:lang w:val="en-US"/>
        </w:rPr>
      </w:pPr>
    </w:p>
    <w:p w:rsidR="0093477D" w:rsidRPr="0093477D" w:rsidRDefault="0093477D" w:rsidP="0093477D">
      <w:pPr>
        <w:pStyle w:val="a7"/>
        <w:shd w:val="clear" w:color="auto" w:fill="FFFFFF"/>
        <w:spacing w:after="120" w:line="312" w:lineRule="auto"/>
        <w:ind w:left="0" w:firstLine="284"/>
        <w:contextualSpacing w:val="0"/>
        <w:jc w:val="both"/>
        <w:rPr>
          <w:lang w:val="en-US"/>
        </w:rPr>
      </w:pPr>
      <w:r w:rsidRPr="0093477D">
        <w:rPr>
          <w:lang w:val="en-US"/>
        </w:rPr>
        <w:t>REFERENCES</w:t>
      </w:r>
    </w:p>
    <w:p w:rsidR="0093477D" w:rsidRPr="004745BA" w:rsidRDefault="0093477D" w:rsidP="0093477D">
      <w:pPr>
        <w:spacing w:line="360" w:lineRule="auto"/>
        <w:ind w:firstLine="709"/>
        <w:jc w:val="both"/>
        <w:rPr>
          <w:lang w:val="en-US"/>
        </w:rPr>
      </w:pPr>
      <w:r w:rsidRPr="00873394">
        <w:rPr>
          <w:lang w:val="en-US"/>
        </w:rPr>
        <w:t xml:space="preserve">1. </w:t>
      </w:r>
      <w:proofErr w:type="spellStart"/>
      <w:r w:rsidRPr="00487BB2">
        <w:rPr>
          <w:lang w:val="en-US"/>
        </w:rPr>
        <w:t>Amankwah</w:t>
      </w:r>
      <w:proofErr w:type="spellEnd"/>
      <w:r w:rsidRPr="00487BB2">
        <w:rPr>
          <w:lang w:val="en-US"/>
        </w:rPr>
        <w:t xml:space="preserve"> E.K., Conley A.P. Reed D.R.</w:t>
      </w:r>
      <w:r w:rsidRPr="00873394">
        <w:rPr>
          <w:lang w:val="en-US"/>
        </w:rPr>
        <w:t xml:space="preserve"> </w:t>
      </w:r>
      <w:r w:rsidRPr="004745BA">
        <w:rPr>
          <w:lang w:val="en-US"/>
        </w:rPr>
        <w:t>Epidemiology</w:t>
      </w:r>
      <w:r w:rsidRPr="00873394">
        <w:rPr>
          <w:lang w:val="en-US"/>
        </w:rPr>
        <w:t xml:space="preserve"> </w:t>
      </w:r>
      <w:r w:rsidRPr="004745BA">
        <w:rPr>
          <w:lang w:val="en-US"/>
        </w:rPr>
        <w:t>and</w:t>
      </w:r>
      <w:r w:rsidRPr="00873394">
        <w:rPr>
          <w:lang w:val="en-US"/>
        </w:rPr>
        <w:t xml:space="preserve"> </w:t>
      </w:r>
      <w:r w:rsidRPr="004745BA">
        <w:rPr>
          <w:lang w:val="en-US"/>
        </w:rPr>
        <w:t>therapies</w:t>
      </w:r>
      <w:r w:rsidRPr="00873394">
        <w:rPr>
          <w:lang w:val="en-US"/>
        </w:rPr>
        <w:t xml:space="preserve"> </w:t>
      </w:r>
      <w:r w:rsidRPr="004745BA">
        <w:rPr>
          <w:lang w:val="en-US"/>
        </w:rPr>
        <w:t>for</w:t>
      </w:r>
      <w:r w:rsidRPr="00873394">
        <w:rPr>
          <w:lang w:val="en-US"/>
        </w:rPr>
        <w:t xml:space="preserve"> </w:t>
      </w:r>
      <w:r w:rsidRPr="004745BA">
        <w:rPr>
          <w:lang w:val="en-US"/>
        </w:rPr>
        <w:t>metastatic</w:t>
      </w:r>
      <w:r w:rsidRPr="00873394">
        <w:rPr>
          <w:lang w:val="en-US"/>
        </w:rPr>
        <w:t xml:space="preserve"> </w:t>
      </w:r>
      <w:r w:rsidRPr="004745BA">
        <w:rPr>
          <w:lang w:val="en-US"/>
        </w:rPr>
        <w:t>sarcoma</w:t>
      </w:r>
      <w:r>
        <w:rPr>
          <w:lang w:val="en-US"/>
        </w:rPr>
        <w:t>.</w:t>
      </w:r>
      <w:r w:rsidRPr="00873394">
        <w:rPr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Clin</w:t>
      </w:r>
      <w:proofErr w:type="spellEnd"/>
      <w:r w:rsidRPr="00487BB2">
        <w:rPr>
          <w:i/>
          <w:iCs/>
          <w:lang w:val="en-US"/>
        </w:rPr>
        <w:t xml:space="preserve">. </w:t>
      </w:r>
      <w:proofErr w:type="spellStart"/>
      <w:r w:rsidRPr="00487BB2">
        <w:rPr>
          <w:i/>
          <w:iCs/>
          <w:lang w:val="en-US"/>
        </w:rPr>
        <w:t>Epidemiol</w:t>
      </w:r>
      <w:proofErr w:type="spellEnd"/>
      <w:r w:rsidRPr="00487BB2">
        <w:rPr>
          <w:i/>
          <w:iCs/>
          <w:lang w:val="en-US"/>
        </w:rPr>
        <w:t>.</w:t>
      </w:r>
      <w:r w:rsidRPr="004745BA">
        <w:rPr>
          <w:lang w:val="en-US"/>
        </w:rPr>
        <w:t xml:space="preserve"> </w:t>
      </w:r>
      <w:r w:rsidRPr="004745BA">
        <w:rPr>
          <w:bCs/>
          <w:lang w:val="en-US"/>
        </w:rPr>
        <w:t>2013</w:t>
      </w:r>
      <w:r>
        <w:rPr>
          <w:bCs/>
          <w:lang w:val="en-US"/>
        </w:rPr>
        <w:t>;</w:t>
      </w:r>
      <w:r w:rsidRPr="004745BA">
        <w:rPr>
          <w:iCs/>
          <w:lang w:val="en-US"/>
        </w:rPr>
        <w:t>5</w:t>
      </w:r>
      <w:r>
        <w:rPr>
          <w:iCs/>
          <w:lang w:val="en-US"/>
        </w:rPr>
        <w:t>:</w:t>
      </w:r>
      <w:r w:rsidRPr="004745BA">
        <w:rPr>
          <w:lang w:val="en-US"/>
        </w:rPr>
        <w:t>147–162.</w:t>
      </w:r>
    </w:p>
    <w:p w:rsidR="0093477D" w:rsidRPr="004745BA" w:rsidRDefault="0093477D" w:rsidP="0093477D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2. </w:t>
      </w:r>
      <w:r w:rsidRPr="00487BB2">
        <w:rPr>
          <w:lang w:val="en-US"/>
        </w:rPr>
        <w:t xml:space="preserve">Ritter J., </w:t>
      </w:r>
      <w:proofErr w:type="spellStart"/>
      <w:r w:rsidRPr="00487BB2">
        <w:rPr>
          <w:lang w:val="en-US"/>
        </w:rPr>
        <w:t>Bielack</w:t>
      </w:r>
      <w:proofErr w:type="spellEnd"/>
      <w:r w:rsidRPr="00487BB2">
        <w:rPr>
          <w:lang w:val="en-US"/>
        </w:rPr>
        <w:t xml:space="preserve"> S.S.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Osteosarcoma</w:t>
      </w:r>
      <w:proofErr w:type="spellEnd"/>
      <w:r>
        <w:rPr>
          <w:lang w:val="en-US"/>
        </w:rPr>
        <w:t xml:space="preserve">. </w:t>
      </w:r>
      <w:r w:rsidRPr="00487BB2">
        <w:rPr>
          <w:i/>
          <w:iCs/>
          <w:lang w:val="en-US"/>
        </w:rPr>
        <w:t xml:space="preserve">Ann. </w:t>
      </w:r>
      <w:proofErr w:type="spellStart"/>
      <w:r w:rsidRPr="00487BB2">
        <w:rPr>
          <w:i/>
          <w:iCs/>
          <w:lang w:val="en-US"/>
        </w:rPr>
        <w:t>Oncol</w:t>
      </w:r>
      <w:proofErr w:type="spellEnd"/>
      <w:r w:rsidRPr="00487BB2">
        <w:rPr>
          <w:i/>
          <w:iCs/>
          <w:lang w:val="en-US"/>
        </w:rPr>
        <w:t>.</w:t>
      </w:r>
      <w:r w:rsidRPr="004745BA">
        <w:rPr>
          <w:lang w:val="en-US"/>
        </w:rPr>
        <w:t xml:space="preserve"> </w:t>
      </w:r>
      <w:r w:rsidRPr="004745BA">
        <w:rPr>
          <w:bCs/>
          <w:lang w:val="en-US"/>
        </w:rPr>
        <w:t>2010</w:t>
      </w:r>
      <w:r>
        <w:rPr>
          <w:bCs/>
          <w:lang w:val="en-US"/>
        </w:rPr>
        <w:t>;</w:t>
      </w:r>
      <w:r w:rsidRPr="004745BA">
        <w:rPr>
          <w:iCs/>
          <w:lang w:val="en-US"/>
        </w:rPr>
        <w:t>21</w:t>
      </w:r>
      <w:r>
        <w:rPr>
          <w:iCs/>
          <w:lang w:val="en-US"/>
        </w:rPr>
        <w:t>(</w:t>
      </w:r>
      <w:r w:rsidRPr="004745BA">
        <w:rPr>
          <w:iCs/>
          <w:lang w:val="en-US"/>
        </w:rPr>
        <w:t>Suppl</w:t>
      </w:r>
      <w:r>
        <w:rPr>
          <w:iCs/>
          <w:lang w:val="en-US"/>
        </w:rPr>
        <w:t>.</w:t>
      </w:r>
      <w:r w:rsidRPr="004745BA">
        <w:rPr>
          <w:iCs/>
          <w:lang w:val="en-US"/>
        </w:rPr>
        <w:t xml:space="preserve"> 7</w:t>
      </w:r>
      <w:r>
        <w:rPr>
          <w:iCs/>
          <w:lang w:val="en-US"/>
        </w:rPr>
        <w:t>):</w:t>
      </w:r>
      <w:r w:rsidRPr="004745BA">
        <w:rPr>
          <w:lang w:val="en-US"/>
        </w:rPr>
        <w:t>320–325.</w:t>
      </w:r>
    </w:p>
    <w:p w:rsidR="0093477D" w:rsidRPr="00EE10E6" w:rsidRDefault="0093477D" w:rsidP="0093477D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487BB2">
        <w:rPr>
          <w:lang w:val="en-US"/>
        </w:rPr>
        <w:t>Hattinger</w:t>
      </w:r>
      <w:proofErr w:type="spellEnd"/>
      <w:r w:rsidRPr="00487BB2">
        <w:rPr>
          <w:lang w:val="en-US"/>
        </w:rPr>
        <w:t xml:space="preserve"> C.M., Serra M.</w:t>
      </w:r>
      <w:r w:rsidRPr="00EE10E6">
        <w:rPr>
          <w:lang w:val="en-US"/>
        </w:rPr>
        <w:t xml:space="preserve"> Role of </w:t>
      </w:r>
      <w:proofErr w:type="spellStart"/>
      <w:r w:rsidRPr="00EE10E6">
        <w:rPr>
          <w:lang w:val="en-US"/>
        </w:rPr>
        <w:t>pharmacogenetics</w:t>
      </w:r>
      <w:proofErr w:type="spellEnd"/>
      <w:r w:rsidRPr="00EE10E6">
        <w:rPr>
          <w:lang w:val="en-US"/>
        </w:rPr>
        <w:t xml:space="preserve"> of drug-metabolizing en</w:t>
      </w:r>
      <w:r>
        <w:rPr>
          <w:lang w:val="en-US"/>
        </w:rPr>
        <w:t xml:space="preserve">zymes in treating </w:t>
      </w:r>
      <w:proofErr w:type="spellStart"/>
      <w:r>
        <w:rPr>
          <w:lang w:val="en-US"/>
        </w:rPr>
        <w:t>osteosarcoma</w:t>
      </w:r>
      <w:proofErr w:type="spellEnd"/>
      <w:r>
        <w:rPr>
          <w:lang w:val="en-US"/>
        </w:rPr>
        <w:t>.</w:t>
      </w:r>
      <w:r w:rsidRPr="00487BB2">
        <w:rPr>
          <w:i/>
          <w:lang w:val="en-US"/>
        </w:rPr>
        <w:t xml:space="preserve"> </w:t>
      </w:r>
      <w:r w:rsidRPr="00487BB2">
        <w:rPr>
          <w:i/>
          <w:iCs/>
          <w:lang w:val="en-US"/>
        </w:rPr>
        <w:t xml:space="preserve">Expert </w:t>
      </w:r>
      <w:proofErr w:type="spellStart"/>
      <w:r w:rsidRPr="00487BB2">
        <w:rPr>
          <w:i/>
          <w:iCs/>
          <w:lang w:val="en-US"/>
        </w:rPr>
        <w:t>Opin</w:t>
      </w:r>
      <w:proofErr w:type="spellEnd"/>
      <w:r w:rsidRPr="00487BB2">
        <w:rPr>
          <w:i/>
          <w:iCs/>
          <w:lang w:val="en-US"/>
        </w:rPr>
        <w:t xml:space="preserve">. Drug </w:t>
      </w:r>
      <w:proofErr w:type="spellStart"/>
      <w:r w:rsidRPr="00487BB2">
        <w:rPr>
          <w:i/>
          <w:iCs/>
          <w:lang w:val="en-US"/>
        </w:rPr>
        <w:t>Metab</w:t>
      </w:r>
      <w:proofErr w:type="spellEnd"/>
      <w:r w:rsidRPr="00487BB2">
        <w:rPr>
          <w:i/>
          <w:iCs/>
          <w:lang w:val="en-US"/>
        </w:rPr>
        <w:t xml:space="preserve">. </w:t>
      </w:r>
      <w:proofErr w:type="spellStart"/>
      <w:r w:rsidRPr="00487BB2">
        <w:rPr>
          <w:i/>
          <w:iCs/>
          <w:lang w:val="en-US"/>
        </w:rPr>
        <w:t>Toxicol</w:t>
      </w:r>
      <w:proofErr w:type="spellEnd"/>
      <w:r w:rsidRPr="00487BB2">
        <w:rPr>
          <w:i/>
          <w:lang w:val="en-US"/>
        </w:rPr>
        <w:t xml:space="preserve">. </w:t>
      </w:r>
      <w:r w:rsidRPr="004745BA">
        <w:rPr>
          <w:bCs/>
          <w:lang w:val="en-US"/>
        </w:rPr>
        <w:t>2015</w:t>
      </w:r>
      <w:r>
        <w:rPr>
          <w:bCs/>
          <w:lang w:val="en-US"/>
        </w:rPr>
        <w:t>;</w:t>
      </w:r>
      <w:r w:rsidRPr="004745BA">
        <w:rPr>
          <w:iCs/>
          <w:lang w:val="en-US"/>
        </w:rPr>
        <w:t>11</w:t>
      </w:r>
      <w:r>
        <w:rPr>
          <w:iCs/>
          <w:lang w:val="en-US"/>
        </w:rPr>
        <w:t>(</w:t>
      </w:r>
      <w:r w:rsidRPr="0098163E">
        <w:rPr>
          <w:lang w:val="en-US"/>
        </w:rPr>
        <w:t>9</w:t>
      </w:r>
      <w:r>
        <w:rPr>
          <w:lang w:val="en-US"/>
        </w:rPr>
        <w:t>):</w:t>
      </w:r>
      <w:r w:rsidRPr="004745BA">
        <w:rPr>
          <w:lang w:val="en-US"/>
        </w:rPr>
        <w:t>1449–1463</w:t>
      </w:r>
      <w:r>
        <w:rPr>
          <w:lang w:val="en-US"/>
        </w:rPr>
        <w:t>.</w:t>
      </w:r>
      <w:r w:rsidRPr="00EE10E6">
        <w:rPr>
          <w:lang w:val="en-US"/>
        </w:rPr>
        <w:t xml:space="preserve"> </w:t>
      </w:r>
    </w:p>
    <w:p w:rsidR="0093477D" w:rsidRPr="00487BB2" w:rsidRDefault="0093477D" w:rsidP="0093477D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4. </w:t>
      </w:r>
      <w:proofErr w:type="spellStart"/>
      <w:r w:rsidRPr="00487BB2">
        <w:rPr>
          <w:lang w:val="en-US"/>
        </w:rPr>
        <w:t>Byrgazov</w:t>
      </w:r>
      <w:proofErr w:type="spellEnd"/>
      <w:r w:rsidRPr="00487BB2">
        <w:rPr>
          <w:lang w:val="en-US"/>
        </w:rPr>
        <w:t xml:space="preserve"> K., Anderson C., </w:t>
      </w:r>
      <w:proofErr w:type="spellStart"/>
      <w:r w:rsidRPr="00487BB2">
        <w:rPr>
          <w:lang w:val="en-US"/>
        </w:rPr>
        <w:t>Salzer</w:t>
      </w:r>
      <w:proofErr w:type="spellEnd"/>
      <w:r w:rsidRPr="00487BB2">
        <w:rPr>
          <w:lang w:val="en-US"/>
        </w:rPr>
        <w:t xml:space="preserve"> B., </w:t>
      </w:r>
      <w:proofErr w:type="spellStart"/>
      <w:r w:rsidRPr="00487BB2">
        <w:rPr>
          <w:lang w:val="en-US"/>
        </w:rPr>
        <w:t>Bozsaky</w:t>
      </w:r>
      <w:proofErr w:type="spellEnd"/>
      <w:r w:rsidRPr="00487BB2">
        <w:rPr>
          <w:lang w:val="en-US"/>
        </w:rPr>
        <w:t xml:space="preserve"> E., Larsson R., </w:t>
      </w:r>
      <w:proofErr w:type="spellStart"/>
      <w:r w:rsidRPr="00487BB2">
        <w:rPr>
          <w:lang w:val="en-US"/>
        </w:rPr>
        <w:t>Gullbo</w:t>
      </w:r>
      <w:proofErr w:type="spellEnd"/>
      <w:r w:rsidRPr="00487BB2">
        <w:rPr>
          <w:lang w:val="en-US"/>
        </w:rPr>
        <w:t xml:space="preserve"> J., </w:t>
      </w:r>
      <w:proofErr w:type="spellStart"/>
      <w:r w:rsidRPr="00487BB2">
        <w:rPr>
          <w:lang w:val="en-US"/>
        </w:rPr>
        <w:t>Lehner</w:t>
      </w:r>
      <w:proofErr w:type="spellEnd"/>
      <w:r w:rsidRPr="00487BB2">
        <w:rPr>
          <w:lang w:val="en-US"/>
        </w:rPr>
        <w:t xml:space="preserve"> M., Lehmann F., </w:t>
      </w:r>
      <w:proofErr w:type="spellStart"/>
      <w:r w:rsidRPr="00487BB2">
        <w:rPr>
          <w:lang w:val="en-US"/>
        </w:rPr>
        <w:t>Slipicevic</w:t>
      </w:r>
      <w:proofErr w:type="spellEnd"/>
      <w:r w:rsidRPr="00487BB2">
        <w:rPr>
          <w:lang w:val="en-US"/>
        </w:rPr>
        <w:t xml:space="preserve"> A., </w:t>
      </w:r>
      <w:proofErr w:type="spellStart"/>
      <w:r w:rsidRPr="00487BB2">
        <w:rPr>
          <w:lang w:val="en-US"/>
        </w:rPr>
        <w:t>Kager</w:t>
      </w:r>
      <w:proofErr w:type="spellEnd"/>
      <w:r w:rsidRPr="00487BB2">
        <w:rPr>
          <w:lang w:val="en-US"/>
        </w:rPr>
        <w:t xml:space="preserve"> L., </w:t>
      </w:r>
      <w:proofErr w:type="spellStart"/>
      <w:r w:rsidRPr="00487BB2">
        <w:rPr>
          <w:lang w:val="en-US"/>
        </w:rPr>
        <w:t>Fryknäs</w:t>
      </w:r>
      <w:proofErr w:type="spellEnd"/>
      <w:r w:rsidRPr="00487BB2">
        <w:rPr>
          <w:lang w:val="en-US"/>
        </w:rPr>
        <w:t xml:space="preserve"> M., </w:t>
      </w:r>
      <w:proofErr w:type="spellStart"/>
      <w:r w:rsidRPr="00487BB2">
        <w:rPr>
          <w:lang w:val="en-US"/>
        </w:rPr>
        <w:t>Taschner-Mandl</w:t>
      </w:r>
      <w:proofErr w:type="spellEnd"/>
      <w:r w:rsidRPr="00487BB2">
        <w:rPr>
          <w:lang w:val="en-US"/>
        </w:rPr>
        <w:t xml:space="preserve"> S.</w:t>
      </w:r>
      <w:r w:rsidRPr="00EE10E6">
        <w:rPr>
          <w:lang w:val="en-US"/>
        </w:rPr>
        <w:t xml:space="preserve"> Targeting aggressive </w:t>
      </w:r>
      <w:proofErr w:type="spellStart"/>
      <w:r w:rsidRPr="00EE10E6">
        <w:rPr>
          <w:lang w:val="en-US"/>
        </w:rPr>
        <w:t>osteosarcoma</w:t>
      </w:r>
      <w:proofErr w:type="spellEnd"/>
      <w:r w:rsidRPr="00EE10E6">
        <w:rPr>
          <w:lang w:val="en-US"/>
        </w:rPr>
        <w:t xml:space="preserve"> with a peptidase-</w:t>
      </w:r>
      <w:r w:rsidRPr="001437B6">
        <w:rPr>
          <w:lang w:val="en-US"/>
        </w:rPr>
        <w:t xml:space="preserve">enhanced </w:t>
      </w:r>
      <w:proofErr w:type="spellStart"/>
      <w:r w:rsidRPr="001437B6">
        <w:rPr>
          <w:lang w:val="en-US"/>
        </w:rPr>
        <w:t>cytotoxic</w:t>
      </w:r>
      <w:proofErr w:type="spellEnd"/>
      <w:r w:rsidRPr="001437B6">
        <w:rPr>
          <w:lang w:val="en-US"/>
        </w:rPr>
        <w:t xml:space="preserve"> </w:t>
      </w:r>
      <w:proofErr w:type="spellStart"/>
      <w:r w:rsidRPr="001437B6">
        <w:rPr>
          <w:lang w:val="en-US"/>
        </w:rPr>
        <w:t>melphalan</w:t>
      </w:r>
      <w:proofErr w:type="spellEnd"/>
      <w:r w:rsidRPr="001437B6">
        <w:rPr>
          <w:lang w:val="en-US"/>
        </w:rPr>
        <w:t xml:space="preserve"> </w:t>
      </w:r>
      <w:proofErr w:type="spellStart"/>
      <w:r w:rsidRPr="001437B6">
        <w:rPr>
          <w:lang w:val="en-US"/>
        </w:rPr>
        <w:t>flufenamide</w:t>
      </w:r>
      <w:proofErr w:type="spellEnd"/>
      <w:r>
        <w:rPr>
          <w:lang w:val="en-US"/>
        </w:rPr>
        <w:t>.</w:t>
      </w:r>
      <w:r w:rsidRPr="001437B6">
        <w:rPr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Ther</w:t>
      </w:r>
      <w:proofErr w:type="spellEnd"/>
      <w:r w:rsidRPr="00487BB2">
        <w:rPr>
          <w:i/>
          <w:iCs/>
          <w:lang w:val="en-US"/>
        </w:rPr>
        <w:t xml:space="preserve">. Adv. Med. </w:t>
      </w:r>
      <w:proofErr w:type="spellStart"/>
      <w:r w:rsidRPr="00487BB2">
        <w:rPr>
          <w:i/>
          <w:iCs/>
          <w:lang w:val="en-US"/>
        </w:rPr>
        <w:t>Oncol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iCs/>
          <w:lang w:val="en-US"/>
        </w:rPr>
        <w:t xml:space="preserve"> </w:t>
      </w:r>
      <w:r w:rsidRPr="00487BB2">
        <w:rPr>
          <w:bCs/>
          <w:lang w:val="en-US"/>
        </w:rPr>
        <w:t>2020</w:t>
      </w:r>
      <w:r>
        <w:rPr>
          <w:bCs/>
          <w:lang w:val="en-US"/>
        </w:rPr>
        <w:t>;</w:t>
      </w:r>
      <w:r w:rsidRPr="00487BB2">
        <w:rPr>
          <w:iCs/>
          <w:lang w:val="en-US"/>
        </w:rPr>
        <w:t>12</w:t>
      </w:r>
      <w:r>
        <w:rPr>
          <w:iCs/>
          <w:lang w:val="en-US"/>
        </w:rPr>
        <w:t>:</w:t>
      </w:r>
      <w:r>
        <w:rPr>
          <w:lang w:val="en-US"/>
        </w:rPr>
        <w:t>e</w:t>
      </w:r>
      <w:r w:rsidRPr="00487BB2">
        <w:rPr>
          <w:lang w:val="en-US"/>
        </w:rPr>
        <w:t>1758835920937891.</w:t>
      </w:r>
    </w:p>
    <w:p w:rsidR="0093477D" w:rsidRPr="000A58E6" w:rsidRDefault="0093477D" w:rsidP="0093477D">
      <w:pPr>
        <w:spacing w:line="360" w:lineRule="auto"/>
        <w:ind w:firstLine="709"/>
        <w:jc w:val="both"/>
        <w:rPr>
          <w:color w:val="000000"/>
          <w:shd w:val="clear" w:color="auto" w:fill="FFFFFF"/>
          <w:lang w:val="en-US"/>
        </w:rPr>
      </w:pPr>
      <w:r w:rsidRPr="000A58E6">
        <w:rPr>
          <w:color w:val="000000"/>
          <w:shd w:val="clear" w:color="auto" w:fill="FFFFFF"/>
          <w:lang w:val="en-US"/>
        </w:rPr>
        <w:t xml:space="preserve">5. </w:t>
      </w:r>
      <w:proofErr w:type="spellStart"/>
      <w:r w:rsidRPr="00487BB2">
        <w:rPr>
          <w:color w:val="000000"/>
          <w:shd w:val="clear" w:color="auto" w:fill="FFFFFF"/>
          <w:lang w:val="en-US"/>
        </w:rPr>
        <w:t>Vorontsova</w:t>
      </w:r>
      <w:proofErr w:type="spellEnd"/>
      <w:r w:rsidRPr="00487BB2">
        <w:rPr>
          <w:color w:val="000000"/>
          <w:shd w:val="clear" w:color="auto" w:fill="FFFFFF"/>
          <w:lang w:val="en-US"/>
        </w:rPr>
        <w:t xml:space="preserve"> J.E., </w:t>
      </w:r>
      <w:proofErr w:type="spellStart"/>
      <w:r w:rsidRPr="00487BB2">
        <w:rPr>
          <w:color w:val="000000"/>
          <w:shd w:val="clear" w:color="auto" w:fill="FFFFFF"/>
          <w:lang w:val="en-US"/>
        </w:rPr>
        <w:t>Cherezov</w:t>
      </w:r>
      <w:proofErr w:type="spellEnd"/>
      <w:r w:rsidRPr="00487BB2">
        <w:rPr>
          <w:color w:val="000000"/>
          <w:shd w:val="clear" w:color="auto" w:fill="FFFFFF"/>
          <w:lang w:val="en-US"/>
        </w:rPr>
        <w:t xml:space="preserve"> R.O., </w:t>
      </w:r>
      <w:proofErr w:type="spellStart"/>
      <w:r w:rsidRPr="00487BB2">
        <w:rPr>
          <w:color w:val="000000"/>
          <w:shd w:val="clear" w:color="auto" w:fill="FFFFFF"/>
          <w:lang w:val="en-US"/>
        </w:rPr>
        <w:t>Kuzin</w:t>
      </w:r>
      <w:proofErr w:type="spellEnd"/>
      <w:r w:rsidRPr="00487BB2">
        <w:rPr>
          <w:color w:val="000000"/>
          <w:shd w:val="clear" w:color="auto" w:fill="FFFFFF"/>
          <w:lang w:val="en-US"/>
        </w:rPr>
        <w:t xml:space="preserve"> B.A., </w:t>
      </w:r>
      <w:proofErr w:type="spellStart"/>
      <w:r w:rsidRPr="00487BB2">
        <w:rPr>
          <w:color w:val="000000"/>
          <w:shd w:val="clear" w:color="auto" w:fill="FFFFFF"/>
          <w:lang w:val="en-US"/>
        </w:rPr>
        <w:t>Simonova</w:t>
      </w:r>
      <w:proofErr w:type="spellEnd"/>
      <w:r w:rsidRPr="00487BB2">
        <w:rPr>
          <w:color w:val="000000"/>
          <w:shd w:val="clear" w:color="auto" w:fill="FFFFFF"/>
          <w:lang w:val="en-US"/>
        </w:rPr>
        <w:t xml:space="preserve"> O.B.</w:t>
      </w:r>
      <w:r w:rsidRPr="000A58E6">
        <w:rPr>
          <w:color w:val="000000"/>
          <w:shd w:val="clear" w:color="auto" w:fill="FFFFFF"/>
          <w:lang w:val="en-US"/>
        </w:rPr>
        <w:t xml:space="preserve"> Aryl-</w:t>
      </w:r>
      <w:r>
        <w:rPr>
          <w:color w:val="000000"/>
          <w:shd w:val="clear" w:color="auto" w:fill="FFFFFF"/>
          <w:lang w:val="en-US"/>
        </w:rPr>
        <w:t>h</w:t>
      </w:r>
      <w:r w:rsidRPr="000A58E6">
        <w:rPr>
          <w:color w:val="000000"/>
          <w:shd w:val="clear" w:color="auto" w:fill="FFFFFF"/>
          <w:lang w:val="en-US"/>
        </w:rPr>
        <w:t xml:space="preserve">ydrocarbon </w:t>
      </w:r>
      <w:r>
        <w:rPr>
          <w:color w:val="000000"/>
          <w:shd w:val="clear" w:color="auto" w:fill="FFFFFF"/>
          <w:lang w:val="en-US"/>
        </w:rPr>
        <w:t>r</w:t>
      </w:r>
      <w:r w:rsidRPr="000A58E6">
        <w:rPr>
          <w:color w:val="000000"/>
          <w:shd w:val="clear" w:color="auto" w:fill="FFFFFF"/>
          <w:lang w:val="en-US"/>
        </w:rPr>
        <w:t xml:space="preserve">eceptor as a </w:t>
      </w:r>
      <w:r>
        <w:rPr>
          <w:color w:val="000000"/>
          <w:shd w:val="clear" w:color="auto" w:fill="FFFFFF"/>
          <w:lang w:val="en-US"/>
        </w:rPr>
        <w:t>p</w:t>
      </w:r>
      <w:r w:rsidRPr="000A58E6">
        <w:rPr>
          <w:color w:val="000000"/>
          <w:shd w:val="clear" w:color="auto" w:fill="FFFFFF"/>
          <w:lang w:val="en-US"/>
        </w:rPr>
        <w:t xml:space="preserve">otential </w:t>
      </w:r>
      <w:r>
        <w:rPr>
          <w:color w:val="000000"/>
          <w:shd w:val="clear" w:color="auto" w:fill="FFFFFF"/>
          <w:lang w:val="en-US"/>
        </w:rPr>
        <w:t>t</w:t>
      </w:r>
      <w:r w:rsidRPr="000A58E6">
        <w:rPr>
          <w:color w:val="000000"/>
          <w:shd w:val="clear" w:color="auto" w:fill="FFFFFF"/>
          <w:lang w:val="en-US"/>
        </w:rPr>
        <w:t xml:space="preserve">arget for </w:t>
      </w:r>
      <w:r>
        <w:rPr>
          <w:color w:val="000000"/>
          <w:shd w:val="clear" w:color="auto" w:fill="FFFFFF"/>
          <w:lang w:val="en-US"/>
        </w:rPr>
        <w:t>a</w:t>
      </w:r>
      <w:r w:rsidRPr="000A58E6">
        <w:rPr>
          <w:color w:val="000000"/>
          <w:shd w:val="clear" w:color="auto" w:fill="FFFFFF"/>
          <w:lang w:val="en-US"/>
        </w:rPr>
        <w:t xml:space="preserve">nticancer </w:t>
      </w:r>
      <w:r>
        <w:rPr>
          <w:color w:val="000000"/>
          <w:shd w:val="clear" w:color="auto" w:fill="FFFFFF"/>
          <w:lang w:val="en-US"/>
        </w:rPr>
        <w:t>t</w:t>
      </w:r>
      <w:r w:rsidRPr="000A58E6">
        <w:rPr>
          <w:color w:val="000000"/>
          <w:shd w:val="clear" w:color="auto" w:fill="FFFFFF"/>
          <w:lang w:val="en-US"/>
        </w:rPr>
        <w:t>herapy</w:t>
      </w:r>
      <w:r>
        <w:rPr>
          <w:color w:val="000000"/>
          <w:shd w:val="clear" w:color="auto" w:fill="FFFFFF"/>
          <w:lang w:val="en-US"/>
        </w:rPr>
        <w:t>.</w:t>
      </w:r>
      <w:r w:rsidRPr="000A58E6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487BB2">
        <w:rPr>
          <w:i/>
          <w:color w:val="000000"/>
          <w:shd w:val="clear" w:color="auto" w:fill="FFFFFF"/>
          <w:lang w:val="en-US"/>
        </w:rPr>
        <w:t>Biochem</w:t>
      </w:r>
      <w:proofErr w:type="spellEnd"/>
      <w:r w:rsidRPr="00487BB2">
        <w:rPr>
          <w:i/>
          <w:color w:val="000000"/>
          <w:shd w:val="clear" w:color="auto" w:fill="FFFFFF"/>
          <w:lang w:val="en-US"/>
        </w:rPr>
        <w:t>. (</w:t>
      </w:r>
      <w:proofErr w:type="spellStart"/>
      <w:r w:rsidRPr="00487BB2">
        <w:rPr>
          <w:i/>
          <w:color w:val="000000"/>
          <w:shd w:val="clear" w:color="auto" w:fill="FFFFFF"/>
          <w:lang w:val="en-US"/>
        </w:rPr>
        <w:t>Mosc</w:t>
      </w:r>
      <w:proofErr w:type="spellEnd"/>
      <w:r w:rsidRPr="00487BB2">
        <w:rPr>
          <w:i/>
          <w:color w:val="000000"/>
          <w:shd w:val="clear" w:color="auto" w:fill="FFFFFF"/>
          <w:lang w:val="en-US"/>
        </w:rPr>
        <w:t xml:space="preserve">.), Suppl., Ser. B Biomed. Chem. </w:t>
      </w:r>
      <w:r w:rsidRPr="00487BB2">
        <w:rPr>
          <w:color w:val="000000"/>
          <w:shd w:val="clear" w:color="auto" w:fill="FFFFFF"/>
          <w:lang w:val="en-US"/>
        </w:rPr>
        <w:t>2019</w:t>
      </w:r>
      <w:r>
        <w:rPr>
          <w:color w:val="000000"/>
          <w:shd w:val="clear" w:color="auto" w:fill="FFFFFF"/>
          <w:lang w:val="en-US"/>
        </w:rPr>
        <w:t>;</w:t>
      </w:r>
      <w:r w:rsidRPr="00487BB2">
        <w:rPr>
          <w:color w:val="000000"/>
          <w:shd w:val="clear" w:color="auto" w:fill="FFFFFF"/>
          <w:lang w:val="en-US"/>
        </w:rPr>
        <w:t>13</w:t>
      </w:r>
      <w:r>
        <w:rPr>
          <w:color w:val="000000"/>
          <w:shd w:val="clear" w:color="auto" w:fill="FFFFFF"/>
          <w:lang w:val="en-US"/>
        </w:rPr>
        <w:t>(</w:t>
      </w:r>
      <w:r w:rsidRPr="00487BB2">
        <w:rPr>
          <w:color w:val="000000"/>
          <w:shd w:val="clear" w:color="auto" w:fill="FFFFFF"/>
          <w:lang w:val="en-US"/>
        </w:rPr>
        <w:t>1</w:t>
      </w:r>
      <w:r>
        <w:rPr>
          <w:color w:val="000000"/>
          <w:shd w:val="clear" w:color="auto" w:fill="FFFFFF"/>
          <w:lang w:val="en-US"/>
        </w:rPr>
        <w:t>):</w:t>
      </w:r>
      <w:r w:rsidRPr="00487BB2">
        <w:rPr>
          <w:color w:val="000000"/>
          <w:shd w:val="clear" w:color="auto" w:fill="FFFFFF"/>
          <w:lang w:val="en-US"/>
        </w:rPr>
        <w:t>36–54.</w:t>
      </w:r>
    </w:p>
    <w:p w:rsidR="0093477D" w:rsidRPr="001437B6" w:rsidRDefault="0093477D" w:rsidP="0093477D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6. </w:t>
      </w:r>
      <w:proofErr w:type="spellStart"/>
      <w:r w:rsidRPr="00487BB2">
        <w:rPr>
          <w:lang w:val="en-US"/>
        </w:rPr>
        <w:t>Feng</w:t>
      </w:r>
      <w:proofErr w:type="spellEnd"/>
      <w:r w:rsidRPr="00487BB2">
        <w:rPr>
          <w:lang w:val="en-US"/>
        </w:rPr>
        <w:t xml:space="preserve"> S., Cao Z., Wang X.</w:t>
      </w:r>
      <w:r w:rsidRPr="00EE10E6">
        <w:rPr>
          <w:lang w:val="en-US"/>
        </w:rPr>
        <w:t xml:space="preserve"> Role of aryl</w:t>
      </w:r>
      <w:r>
        <w:rPr>
          <w:lang w:val="en-US"/>
        </w:rPr>
        <w:t xml:space="preserve"> hydrocarbon receptor in cancer.</w:t>
      </w:r>
      <w:r w:rsidRPr="00EE10E6">
        <w:rPr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Biochim</w:t>
      </w:r>
      <w:proofErr w:type="spellEnd"/>
      <w:r w:rsidRPr="00487BB2">
        <w:rPr>
          <w:i/>
          <w:iCs/>
          <w:lang w:val="en-US"/>
        </w:rPr>
        <w:t xml:space="preserve">. </w:t>
      </w:r>
      <w:proofErr w:type="spellStart"/>
      <w:r w:rsidRPr="00487BB2">
        <w:rPr>
          <w:i/>
          <w:iCs/>
          <w:lang w:val="en-US"/>
        </w:rPr>
        <w:t>Biophys</w:t>
      </w:r>
      <w:proofErr w:type="spellEnd"/>
      <w:r w:rsidRPr="00487BB2">
        <w:rPr>
          <w:i/>
          <w:iCs/>
          <w:lang w:val="en-US"/>
        </w:rPr>
        <w:t xml:space="preserve">. </w:t>
      </w:r>
      <w:proofErr w:type="spellStart"/>
      <w:r w:rsidRPr="00487BB2">
        <w:rPr>
          <w:i/>
          <w:iCs/>
          <w:lang w:val="en-US"/>
        </w:rPr>
        <w:t>Acta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lang w:val="en-US"/>
        </w:rPr>
        <w:t xml:space="preserve"> </w:t>
      </w:r>
      <w:r w:rsidRPr="001437B6">
        <w:rPr>
          <w:bCs/>
          <w:lang w:val="en-US"/>
        </w:rPr>
        <w:t>2013</w:t>
      </w:r>
      <w:r>
        <w:rPr>
          <w:bCs/>
          <w:lang w:val="en-US"/>
        </w:rPr>
        <w:t>;</w:t>
      </w:r>
      <w:r w:rsidRPr="001437B6">
        <w:rPr>
          <w:iCs/>
          <w:lang w:val="en-US"/>
        </w:rPr>
        <w:t>1836</w:t>
      </w:r>
      <w:r>
        <w:rPr>
          <w:iCs/>
          <w:lang w:val="en-US"/>
        </w:rPr>
        <w:t>(</w:t>
      </w:r>
      <w:r>
        <w:rPr>
          <w:lang w:val="en-US"/>
        </w:rPr>
        <w:t>2):</w:t>
      </w:r>
      <w:r w:rsidRPr="001437B6">
        <w:rPr>
          <w:lang w:val="en-US"/>
        </w:rPr>
        <w:t>197–210.</w:t>
      </w:r>
    </w:p>
    <w:p w:rsidR="0093477D" w:rsidRPr="00927C61" w:rsidRDefault="0093477D" w:rsidP="0093477D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7. </w:t>
      </w:r>
      <w:r w:rsidRPr="00487BB2">
        <w:rPr>
          <w:lang w:val="en-US"/>
        </w:rPr>
        <w:t xml:space="preserve">Safe S., </w:t>
      </w:r>
      <w:proofErr w:type="spellStart"/>
      <w:r w:rsidRPr="00487BB2">
        <w:rPr>
          <w:lang w:val="en-US"/>
        </w:rPr>
        <w:t>Jayaraman</w:t>
      </w:r>
      <w:proofErr w:type="spellEnd"/>
      <w:r w:rsidRPr="00487BB2">
        <w:rPr>
          <w:lang w:val="en-US"/>
        </w:rPr>
        <w:t xml:space="preserve"> A., </w:t>
      </w:r>
      <w:proofErr w:type="spellStart"/>
      <w:r w:rsidRPr="00487BB2">
        <w:rPr>
          <w:lang w:val="en-US"/>
        </w:rPr>
        <w:t>Chapkin</w:t>
      </w:r>
      <w:proofErr w:type="spellEnd"/>
      <w:r w:rsidRPr="00487BB2">
        <w:rPr>
          <w:lang w:val="en-US"/>
        </w:rPr>
        <w:t xml:space="preserve"> R.S.</w:t>
      </w:r>
      <w:r w:rsidRPr="00927C61">
        <w:rPr>
          <w:lang w:val="en-US"/>
        </w:rPr>
        <w:t xml:space="preserve"> Ah receptor </w:t>
      </w:r>
      <w:proofErr w:type="spellStart"/>
      <w:r w:rsidRPr="00927C61">
        <w:rPr>
          <w:lang w:val="en-US"/>
        </w:rPr>
        <w:t>ligands</w:t>
      </w:r>
      <w:proofErr w:type="spellEnd"/>
      <w:r w:rsidRPr="00927C61">
        <w:rPr>
          <w:lang w:val="en-US"/>
        </w:rPr>
        <w:t xml:space="preserve"> and their impacts on gut resilie</w:t>
      </w:r>
      <w:r>
        <w:rPr>
          <w:lang w:val="en-US"/>
        </w:rPr>
        <w:t xml:space="preserve">nce: structure-activity effects. </w:t>
      </w:r>
      <w:r w:rsidRPr="00487BB2">
        <w:rPr>
          <w:i/>
          <w:iCs/>
          <w:lang w:val="en-US"/>
        </w:rPr>
        <w:t xml:space="preserve">Crit. Rev. </w:t>
      </w:r>
      <w:proofErr w:type="spellStart"/>
      <w:r w:rsidRPr="00487BB2">
        <w:rPr>
          <w:i/>
          <w:iCs/>
          <w:lang w:val="en-US"/>
        </w:rPr>
        <w:t>Toxicol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lang w:val="en-US"/>
        </w:rPr>
        <w:t xml:space="preserve"> </w:t>
      </w:r>
      <w:r w:rsidRPr="001437B6">
        <w:rPr>
          <w:bCs/>
          <w:lang w:val="en-US"/>
        </w:rPr>
        <w:t>2020</w:t>
      </w:r>
      <w:r>
        <w:rPr>
          <w:bCs/>
          <w:lang w:val="en-US"/>
        </w:rPr>
        <w:t>;</w:t>
      </w:r>
      <w:r w:rsidRPr="001437B6">
        <w:rPr>
          <w:iCs/>
          <w:lang w:val="en-US"/>
        </w:rPr>
        <w:t>50</w:t>
      </w:r>
      <w:r>
        <w:rPr>
          <w:iCs/>
          <w:lang w:val="en-US"/>
        </w:rPr>
        <w:t>(</w:t>
      </w:r>
      <w:r>
        <w:rPr>
          <w:lang w:val="en-US"/>
        </w:rPr>
        <w:t>6):</w:t>
      </w:r>
      <w:r w:rsidRPr="001437B6">
        <w:rPr>
          <w:lang w:val="en-US"/>
        </w:rPr>
        <w:t>463–473.</w:t>
      </w:r>
      <w:r>
        <w:rPr>
          <w:lang w:val="en-US"/>
        </w:rPr>
        <w:t xml:space="preserve"> </w:t>
      </w:r>
    </w:p>
    <w:p w:rsidR="0093477D" w:rsidRPr="001437B6" w:rsidRDefault="0093477D" w:rsidP="0093477D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8. </w:t>
      </w:r>
      <w:proofErr w:type="spellStart"/>
      <w:r w:rsidRPr="00487BB2">
        <w:rPr>
          <w:lang w:val="en-US"/>
        </w:rPr>
        <w:t>Pollenz</w:t>
      </w:r>
      <w:proofErr w:type="spellEnd"/>
      <w:r w:rsidRPr="00487BB2">
        <w:rPr>
          <w:lang w:val="en-US"/>
        </w:rPr>
        <w:t xml:space="preserve"> R.S., Barbour E.R.</w:t>
      </w:r>
      <w:r w:rsidRPr="00014818">
        <w:rPr>
          <w:lang w:val="en-US"/>
        </w:rPr>
        <w:t xml:space="preserve"> Analysis of the </w:t>
      </w:r>
      <w:r>
        <w:rPr>
          <w:lang w:val="en-US"/>
        </w:rPr>
        <w:t>c</w:t>
      </w:r>
      <w:r w:rsidRPr="00014818">
        <w:rPr>
          <w:lang w:val="en-US"/>
        </w:rPr>
        <w:t xml:space="preserve">omplex </w:t>
      </w:r>
      <w:r>
        <w:rPr>
          <w:lang w:val="en-US"/>
        </w:rPr>
        <w:t>r</w:t>
      </w:r>
      <w:r w:rsidRPr="00014818">
        <w:rPr>
          <w:lang w:val="en-US"/>
        </w:rPr>
        <w:t xml:space="preserve">elationship between </w:t>
      </w:r>
      <w:r>
        <w:rPr>
          <w:lang w:val="en-US"/>
        </w:rPr>
        <w:t>n</w:t>
      </w:r>
      <w:r w:rsidRPr="00014818">
        <w:rPr>
          <w:lang w:val="en-US"/>
        </w:rPr>
        <w:t xml:space="preserve">uclear </w:t>
      </w:r>
      <w:r>
        <w:rPr>
          <w:lang w:val="en-US"/>
        </w:rPr>
        <w:t>e</w:t>
      </w:r>
      <w:r w:rsidRPr="00014818">
        <w:rPr>
          <w:lang w:val="en-US"/>
        </w:rPr>
        <w:t xml:space="preserve">xport and </w:t>
      </w:r>
      <w:r>
        <w:rPr>
          <w:lang w:val="en-US"/>
        </w:rPr>
        <w:t>a</w:t>
      </w:r>
      <w:r w:rsidRPr="00014818">
        <w:rPr>
          <w:lang w:val="en-US"/>
        </w:rPr>
        <w:t xml:space="preserve">ryl </w:t>
      </w:r>
      <w:r>
        <w:rPr>
          <w:lang w:val="en-US"/>
        </w:rPr>
        <w:t>h</w:t>
      </w:r>
      <w:r w:rsidRPr="00014818">
        <w:rPr>
          <w:lang w:val="en-US"/>
        </w:rPr>
        <w:t xml:space="preserve">ydrocarbon </w:t>
      </w:r>
      <w:r>
        <w:rPr>
          <w:lang w:val="en-US"/>
        </w:rPr>
        <w:t>r</w:t>
      </w:r>
      <w:r w:rsidRPr="00014818">
        <w:rPr>
          <w:lang w:val="en-US"/>
        </w:rPr>
        <w:t>eceptor-</w:t>
      </w:r>
      <w:r>
        <w:rPr>
          <w:lang w:val="en-US"/>
        </w:rPr>
        <w:t>m</w:t>
      </w:r>
      <w:r w:rsidRPr="00014818">
        <w:rPr>
          <w:lang w:val="en-US"/>
        </w:rPr>
        <w:t xml:space="preserve">ediated </w:t>
      </w:r>
      <w:r>
        <w:rPr>
          <w:lang w:val="en-US"/>
        </w:rPr>
        <w:t>g</w:t>
      </w:r>
      <w:r w:rsidRPr="00014818">
        <w:rPr>
          <w:lang w:val="en-US"/>
        </w:rPr>
        <w:t xml:space="preserve">ene </w:t>
      </w:r>
      <w:r>
        <w:rPr>
          <w:lang w:val="en-US"/>
        </w:rPr>
        <w:t>r</w:t>
      </w:r>
      <w:r w:rsidRPr="00014818">
        <w:rPr>
          <w:lang w:val="en-US"/>
        </w:rPr>
        <w:t>eg</w:t>
      </w:r>
      <w:r>
        <w:rPr>
          <w:lang w:val="en-US"/>
        </w:rPr>
        <w:t>ulation.</w:t>
      </w:r>
      <w:r w:rsidRPr="00014818">
        <w:rPr>
          <w:lang w:val="en-US"/>
        </w:rPr>
        <w:t xml:space="preserve"> </w:t>
      </w:r>
      <w:r w:rsidRPr="00487BB2">
        <w:rPr>
          <w:i/>
          <w:iCs/>
          <w:lang w:val="en-US"/>
        </w:rPr>
        <w:t>Mol. Cell Biol.</w:t>
      </w:r>
      <w:r w:rsidRPr="00487BB2">
        <w:rPr>
          <w:i/>
          <w:lang w:val="en-US"/>
        </w:rPr>
        <w:t xml:space="preserve"> </w:t>
      </w:r>
      <w:r w:rsidRPr="001437B6">
        <w:rPr>
          <w:bCs/>
          <w:lang w:val="en-US"/>
        </w:rPr>
        <w:t>2000</w:t>
      </w:r>
      <w:r>
        <w:rPr>
          <w:bCs/>
          <w:lang w:val="en-US"/>
        </w:rPr>
        <w:t>;</w:t>
      </w:r>
      <w:r w:rsidRPr="001437B6">
        <w:rPr>
          <w:iCs/>
          <w:lang w:val="en-US"/>
        </w:rPr>
        <w:t>20</w:t>
      </w:r>
      <w:r>
        <w:rPr>
          <w:iCs/>
          <w:lang w:val="en-US"/>
        </w:rPr>
        <w:t>(</w:t>
      </w:r>
      <w:r>
        <w:rPr>
          <w:lang w:val="en-US"/>
        </w:rPr>
        <w:t>16):</w:t>
      </w:r>
      <w:r w:rsidRPr="001437B6">
        <w:rPr>
          <w:lang w:val="en-US"/>
        </w:rPr>
        <w:t>6095–6104.</w:t>
      </w:r>
    </w:p>
    <w:p w:rsidR="0093477D" w:rsidRPr="001437B6" w:rsidRDefault="0093477D" w:rsidP="0093477D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9. </w:t>
      </w:r>
      <w:proofErr w:type="spellStart"/>
      <w:r w:rsidRPr="00487BB2">
        <w:rPr>
          <w:lang w:val="en-US"/>
        </w:rPr>
        <w:t>Nebert</w:t>
      </w:r>
      <w:proofErr w:type="spellEnd"/>
      <w:r w:rsidRPr="00487BB2">
        <w:rPr>
          <w:lang w:val="en-US"/>
        </w:rPr>
        <w:t xml:space="preserve"> D.W., Roe A.L., Dieter M.Z., Solis W.A., Yang Y., Dalton T.P.</w:t>
      </w:r>
      <w:r w:rsidRPr="00714D06">
        <w:rPr>
          <w:lang w:val="en-US"/>
        </w:rPr>
        <w:t xml:space="preserve"> Role of the aromatic hydrocarbon receptor and [Ah] gene battery in the oxidative stress response, ce</w:t>
      </w:r>
      <w:r>
        <w:rPr>
          <w:lang w:val="en-US"/>
        </w:rPr>
        <w:t>ll cycle control, and apoptosis.</w:t>
      </w:r>
      <w:r w:rsidRPr="00714D06">
        <w:rPr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Biochem</w:t>
      </w:r>
      <w:proofErr w:type="spellEnd"/>
      <w:r w:rsidRPr="00487BB2">
        <w:rPr>
          <w:i/>
          <w:iCs/>
          <w:lang w:val="en-US"/>
        </w:rPr>
        <w:t xml:space="preserve">. </w:t>
      </w:r>
      <w:proofErr w:type="spellStart"/>
      <w:r w:rsidRPr="00487BB2">
        <w:rPr>
          <w:i/>
          <w:iCs/>
          <w:lang w:val="en-US"/>
        </w:rPr>
        <w:t>Pharmacol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lang w:val="en-US"/>
        </w:rPr>
        <w:t xml:space="preserve"> </w:t>
      </w:r>
      <w:r w:rsidRPr="001437B6">
        <w:rPr>
          <w:bCs/>
          <w:lang w:val="en-US"/>
        </w:rPr>
        <w:t>2000</w:t>
      </w:r>
      <w:r>
        <w:rPr>
          <w:bCs/>
          <w:lang w:val="en-US"/>
        </w:rPr>
        <w:t>;</w:t>
      </w:r>
      <w:r w:rsidRPr="001437B6">
        <w:rPr>
          <w:iCs/>
          <w:lang w:val="en-US"/>
        </w:rPr>
        <w:t>59</w:t>
      </w:r>
      <w:r>
        <w:rPr>
          <w:iCs/>
          <w:lang w:val="en-US"/>
        </w:rPr>
        <w:t>(</w:t>
      </w:r>
      <w:r>
        <w:rPr>
          <w:lang w:val="en-US"/>
        </w:rPr>
        <w:t>1):</w:t>
      </w:r>
      <w:r w:rsidRPr="001437B6">
        <w:rPr>
          <w:lang w:val="en-US"/>
        </w:rPr>
        <w:t xml:space="preserve">65–85. </w:t>
      </w:r>
    </w:p>
    <w:p w:rsidR="0093477D" w:rsidRPr="0093477D" w:rsidRDefault="0093477D" w:rsidP="0093477D">
      <w:pPr>
        <w:spacing w:line="360" w:lineRule="auto"/>
        <w:ind w:firstLine="709"/>
        <w:jc w:val="both"/>
        <w:rPr>
          <w:lang w:val="en-US"/>
        </w:rPr>
      </w:pPr>
      <w:r w:rsidRPr="00714D06">
        <w:rPr>
          <w:lang w:val="en-US"/>
        </w:rPr>
        <w:t>1</w:t>
      </w:r>
      <w:r>
        <w:rPr>
          <w:lang w:val="en-US"/>
        </w:rPr>
        <w:t>0</w:t>
      </w:r>
      <w:r w:rsidRPr="00714D06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487BB2">
        <w:rPr>
          <w:lang w:val="en-US"/>
        </w:rPr>
        <w:t>Beischlag</w:t>
      </w:r>
      <w:proofErr w:type="spellEnd"/>
      <w:r w:rsidRPr="00487BB2">
        <w:rPr>
          <w:lang w:val="en-US"/>
        </w:rPr>
        <w:t xml:space="preserve"> T.V., Luis Morales J., Hollingshead B.D., </w:t>
      </w:r>
      <w:proofErr w:type="spellStart"/>
      <w:r w:rsidRPr="00487BB2">
        <w:rPr>
          <w:lang w:val="en-US"/>
        </w:rPr>
        <w:t>Perdew</w:t>
      </w:r>
      <w:proofErr w:type="spellEnd"/>
      <w:r w:rsidRPr="00487BB2">
        <w:rPr>
          <w:lang w:val="en-US"/>
        </w:rPr>
        <w:t xml:space="preserve"> G.H.</w:t>
      </w:r>
      <w:r w:rsidRPr="00714D06">
        <w:rPr>
          <w:lang w:val="en-US"/>
        </w:rPr>
        <w:t xml:space="preserve"> The aryl hydrocarbon receptor complex and</w:t>
      </w:r>
      <w:r>
        <w:rPr>
          <w:lang w:val="en-US"/>
        </w:rPr>
        <w:t xml:space="preserve"> the control of gene expression.</w:t>
      </w:r>
      <w:r w:rsidRPr="00714D06">
        <w:rPr>
          <w:lang w:val="en-US"/>
        </w:rPr>
        <w:t xml:space="preserve"> </w:t>
      </w:r>
      <w:r w:rsidRPr="00487BB2">
        <w:rPr>
          <w:i/>
          <w:iCs/>
          <w:lang w:val="en-US"/>
        </w:rPr>
        <w:t>Crit</w:t>
      </w:r>
      <w:r w:rsidRPr="0093477D">
        <w:rPr>
          <w:i/>
          <w:iCs/>
          <w:lang w:val="en-US"/>
        </w:rPr>
        <w:t xml:space="preserve">. </w:t>
      </w:r>
      <w:r w:rsidRPr="00487BB2">
        <w:rPr>
          <w:i/>
          <w:iCs/>
          <w:lang w:val="en-US"/>
        </w:rPr>
        <w:t>Rev</w:t>
      </w:r>
      <w:r w:rsidRPr="0093477D">
        <w:rPr>
          <w:i/>
          <w:iCs/>
          <w:lang w:val="en-US"/>
        </w:rPr>
        <w:t xml:space="preserve">. </w:t>
      </w:r>
      <w:proofErr w:type="spellStart"/>
      <w:r w:rsidRPr="00487BB2">
        <w:rPr>
          <w:i/>
          <w:iCs/>
          <w:lang w:val="en-US"/>
        </w:rPr>
        <w:t>Eukaryot</w:t>
      </w:r>
      <w:proofErr w:type="spellEnd"/>
      <w:r w:rsidRPr="0093477D">
        <w:rPr>
          <w:i/>
          <w:iCs/>
          <w:lang w:val="en-US"/>
        </w:rPr>
        <w:t xml:space="preserve">. </w:t>
      </w:r>
      <w:r w:rsidRPr="00487BB2">
        <w:rPr>
          <w:i/>
          <w:iCs/>
          <w:lang w:val="en-US"/>
        </w:rPr>
        <w:t>Gene</w:t>
      </w:r>
      <w:r w:rsidRPr="0093477D">
        <w:rPr>
          <w:i/>
          <w:iCs/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Expr</w:t>
      </w:r>
      <w:proofErr w:type="spellEnd"/>
      <w:r w:rsidRPr="0093477D">
        <w:rPr>
          <w:i/>
          <w:iCs/>
          <w:lang w:val="en-US"/>
        </w:rPr>
        <w:t>.</w:t>
      </w:r>
      <w:r w:rsidRPr="0093477D">
        <w:rPr>
          <w:lang w:val="en-US"/>
        </w:rPr>
        <w:t xml:space="preserve"> </w:t>
      </w:r>
      <w:r w:rsidRPr="0093477D">
        <w:rPr>
          <w:bCs/>
          <w:lang w:val="en-US"/>
        </w:rPr>
        <w:t>2008;</w:t>
      </w:r>
      <w:r w:rsidRPr="0093477D">
        <w:rPr>
          <w:iCs/>
          <w:lang w:val="en-US"/>
        </w:rPr>
        <w:t>18(</w:t>
      </w:r>
      <w:r w:rsidRPr="0093477D">
        <w:rPr>
          <w:lang w:val="en-US"/>
        </w:rPr>
        <w:t>3):207–250.</w:t>
      </w:r>
    </w:p>
    <w:p w:rsidR="0093477D" w:rsidRDefault="0093477D" w:rsidP="0093477D">
      <w:pPr>
        <w:pStyle w:val="aa"/>
        <w:spacing w:after="0" w:line="312" w:lineRule="auto"/>
        <w:jc w:val="right"/>
        <w:rPr>
          <w:rFonts w:ascii="Times New Roman" w:hAnsi="Times New Roman" w:cs="Times New Roman"/>
        </w:rPr>
      </w:pPr>
      <w:r w:rsidRPr="0004254A">
        <w:rPr>
          <w:rFonts w:ascii="Times New Roman" w:hAnsi="Times New Roman" w:cs="Times New Roman"/>
        </w:rPr>
        <w:t>Received</w:t>
      </w:r>
    </w:p>
    <w:p w:rsidR="0093477D" w:rsidRDefault="0093477D" w:rsidP="0093477D">
      <w:pPr>
        <w:pStyle w:val="aa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04254A">
        <w:rPr>
          <w:rFonts w:ascii="Times New Roman" w:hAnsi="Times New Roman" w:cs="Times New Roman"/>
        </w:rPr>
        <w:t>evised</w:t>
      </w:r>
    </w:p>
    <w:p w:rsidR="0093477D" w:rsidRPr="00606556" w:rsidRDefault="0093477D" w:rsidP="0093477D">
      <w:pPr>
        <w:pStyle w:val="aa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4254A">
        <w:rPr>
          <w:rFonts w:ascii="Times New Roman" w:hAnsi="Times New Roman" w:cs="Times New Roman"/>
        </w:rPr>
        <w:t>ccepted</w:t>
      </w:r>
    </w:p>
    <w:p w:rsidR="008F1DA2" w:rsidRPr="0093477D" w:rsidRDefault="0093477D" w:rsidP="0093477D">
      <w:pPr>
        <w:spacing w:line="360" w:lineRule="auto"/>
        <w:ind w:firstLine="709"/>
        <w:rPr>
          <w:lang w:val="en-US"/>
        </w:rPr>
      </w:pPr>
      <w:r>
        <w:rPr>
          <w:lang w:val="en-US"/>
        </w:rPr>
        <w:br w:type="page"/>
      </w:r>
      <w:r w:rsidRPr="0093477D">
        <w:rPr>
          <w:b/>
          <w:lang w:val="en-US"/>
        </w:rPr>
        <w:lastRenderedPageBreak/>
        <w:t>Information about the authors</w:t>
      </w:r>
    </w:p>
    <w:p w:rsidR="0093477D" w:rsidRPr="0093477D" w:rsidRDefault="0093477D" w:rsidP="009347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>Vorontsova</w:t>
      </w:r>
      <w:proofErr w:type="spellEnd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>Yulia</w:t>
      </w:r>
      <w:proofErr w:type="spellEnd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>Evgenievna</w:t>
      </w:r>
      <w:proofErr w:type="spellEnd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 Ph.D.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Researcher,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Laboratory of Molecular Genetic Processes of Development, N.K. </w:t>
      </w:r>
      <w:proofErr w:type="spellStart"/>
      <w:r w:rsidRPr="0093477D">
        <w:rPr>
          <w:rFonts w:ascii="Times New Roman" w:hAnsi="Times New Roman" w:cs="Times New Roman"/>
          <w:sz w:val="24"/>
          <w:szCs w:val="24"/>
          <w:lang w:val="en-US"/>
        </w:rPr>
        <w:t>Koltsov</w:t>
      </w:r>
      <w:proofErr w:type="spellEnd"/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Institute of Developmental Biology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RAS.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Phone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>-499-135-20-97; e-mail: vorontsova@idbras.ru; ORCID: 0000-0002-3378-1515</w:t>
      </w:r>
    </w:p>
    <w:p w:rsidR="0093477D" w:rsidRPr="0093477D" w:rsidRDefault="0093477D" w:rsidP="009347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>Akishina</w:t>
      </w:r>
      <w:proofErr w:type="spellEnd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Angelina </w:t>
      </w:r>
      <w:proofErr w:type="spellStart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>Alexandrovna</w:t>
      </w:r>
      <w:proofErr w:type="spellEnd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Jr. </w:t>
      </w:r>
      <w:r>
        <w:rPr>
          <w:rFonts w:ascii="Times New Roman" w:hAnsi="Times New Roman" w:cs="Times New Roman"/>
          <w:sz w:val="24"/>
          <w:szCs w:val="24"/>
          <w:lang w:val="en-US"/>
        </w:rPr>
        <w:t>Researcher,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Laboratory of Molecular Genetic Processes of Development, N.K. </w:t>
      </w:r>
      <w:proofErr w:type="spellStart"/>
      <w:r w:rsidRPr="0093477D">
        <w:rPr>
          <w:rFonts w:ascii="Times New Roman" w:hAnsi="Times New Roman" w:cs="Times New Roman"/>
          <w:sz w:val="24"/>
          <w:szCs w:val="24"/>
          <w:lang w:val="en-US"/>
        </w:rPr>
        <w:t>Koltsov</w:t>
      </w:r>
      <w:proofErr w:type="spellEnd"/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Institute of Developmental Biology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RAS.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Phone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>-499-135-20-97; e-mail: ilitiri@bk.ru; ORCID: 0000-0002-3428-7287</w:t>
      </w:r>
    </w:p>
    <w:p w:rsidR="0093477D" w:rsidRPr="0093477D" w:rsidRDefault="0093477D" w:rsidP="009347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>Cherezov</w:t>
      </w:r>
      <w:proofErr w:type="spellEnd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Roman </w:t>
      </w:r>
      <w:proofErr w:type="spellStart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>Olegovich</w:t>
      </w:r>
      <w:proofErr w:type="spellEnd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>– Ph.D.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Researcher,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Laboratory of Molecular Genetic Processes of Development, N.K. </w:t>
      </w:r>
      <w:proofErr w:type="spellStart"/>
      <w:r w:rsidRPr="0093477D">
        <w:rPr>
          <w:rFonts w:ascii="Times New Roman" w:hAnsi="Times New Roman" w:cs="Times New Roman"/>
          <w:sz w:val="24"/>
          <w:szCs w:val="24"/>
          <w:lang w:val="en-US"/>
        </w:rPr>
        <w:t>Koltsov</w:t>
      </w:r>
      <w:proofErr w:type="spellEnd"/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Institute of Developmental Biology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RAS.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Phone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>-499-135-20-97; e-mail: ro-tcherezov@yandex.ru</w:t>
      </w:r>
    </w:p>
    <w:p w:rsidR="004C1F28" w:rsidRPr="0093477D" w:rsidRDefault="0093477D" w:rsidP="009347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>Simonova</w:t>
      </w:r>
      <w:proofErr w:type="spellEnd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Olga </w:t>
      </w:r>
      <w:proofErr w:type="spellStart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>Borisovna</w:t>
      </w:r>
      <w:proofErr w:type="spellEnd"/>
      <w:r w:rsidRPr="00934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>– Ph.D.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iol. </w:t>
      </w:r>
      <w:r>
        <w:rPr>
          <w:rFonts w:ascii="Times New Roman" w:hAnsi="Times New Roman" w:cs="Times New Roman"/>
          <w:sz w:val="24"/>
          <w:szCs w:val="24"/>
          <w:lang w:val="en-US"/>
        </w:rPr>
        <w:t>Sci.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>ead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>Laboratory of Molecular Genetic Processes of Development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N.K. </w:t>
      </w:r>
      <w:proofErr w:type="spellStart"/>
      <w:r w:rsidRPr="0093477D">
        <w:rPr>
          <w:rFonts w:ascii="Times New Roman" w:hAnsi="Times New Roman" w:cs="Times New Roman"/>
          <w:sz w:val="24"/>
          <w:szCs w:val="24"/>
          <w:lang w:val="en-US"/>
        </w:rPr>
        <w:t>Koltsov</w:t>
      </w:r>
      <w:proofErr w:type="spellEnd"/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Institute of Developmental Biology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 RAS.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Phone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93477D">
        <w:rPr>
          <w:rFonts w:ascii="Times New Roman" w:hAnsi="Times New Roman" w:cs="Times New Roman"/>
          <w:sz w:val="24"/>
          <w:szCs w:val="24"/>
          <w:lang w:val="en-US"/>
        </w:rPr>
        <w:t>-499-135-20-97; e-mail: osimonova@hotmail.com</w:t>
      </w:r>
    </w:p>
    <w:p w:rsidR="004C1F28" w:rsidRPr="0093477D" w:rsidRDefault="004C1F28" w:rsidP="004C1F28">
      <w:pPr>
        <w:spacing w:line="360" w:lineRule="auto"/>
        <w:ind w:firstLine="425"/>
        <w:jc w:val="both"/>
        <w:rPr>
          <w:lang w:val="en-US"/>
        </w:rPr>
      </w:pPr>
    </w:p>
    <w:p w:rsidR="004C1F28" w:rsidRPr="0093477D" w:rsidRDefault="004C1F28" w:rsidP="004C1F28">
      <w:pPr>
        <w:spacing w:line="360" w:lineRule="auto"/>
        <w:ind w:firstLine="425"/>
        <w:rPr>
          <w:lang w:val="en-US"/>
        </w:rPr>
      </w:pPr>
    </w:p>
    <w:p w:rsidR="004C1F28" w:rsidRPr="0093477D" w:rsidRDefault="004C1F28" w:rsidP="004C1F28">
      <w:pPr>
        <w:spacing w:line="360" w:lineRule="auto"/>
        <w:ind w:firstLine="425"/>
        <w:rPr>
          <w:lang w:val="en-US"/>
        </w:rPr>
      </w:pPr>
    </w:p>
    <w:p w:rsidR="002E3BFD" w:rsidRPr="0093477D" w:rsidRDefault="0071070E" w:rsidP="00E95CD0">
      <w:pPr>
        <w:spacing w:line="360" w:lineRule="auto"/>
        <w:jc w:val="both"/>
        <w:rPr>
          <w:b/>
          <w:lang w:val="en-US"/>
        </w:rPr>
      </w:pPr>
      <w:r w:rsidRPr="0093477D">
        <w:rPr>
          <w:lang w:val="en-US"/>
        </w:rPr>
        <w:br w:type="page"/>
      </w:r>
      <w:r w:rsidR="0093477D">
        <w:rPr>
          <w:b/>
          <w:lang w:val="en-US"/>
        </w:rPr>
        <w:lastRenderedPageBreak/>
        <w:t>Figure Captions</w:t>
      </w:r>
    </w:p>
    <w:p w:rsidR="00E95CD0" w:rsidRPr="00E95CD0" w:rsidRDefault="00E95CD0" w:rsidP="00E95CD0">
      <w:pPr>
        <w:spacing w:line="360" w:lineRule="auto"/>
        <w:jc w:val="both"/>
        <w:rPr>
          <w:b/>
          <w:lang w:val="en-US"/>
        </w:rPr>
      </w:pPr>
    </w:p>
    <w:p w:rsidR="00612A01" w:rsidRDefault="0093477D" w:rsidP="0093477D">
      <w:pPr>
        <w:spacing w:line="360" w:lineRule="auto"/>
        <w:jc w:val="both"/>
        <w:rPr>
          <w:lang w:val="en-US"/>
        </w:rPr>
      </w:pPr>
      <w:r w:rsidRPr="0093477D">
        <w:rPr>
          <w:b/>
          <w:lang w:val="en-US"/>
        </w:rPr>
        <w:t xml:space="preserve">Fig. 1. </w:t>
      </w:r>
      <w:r w:rsidRPr="0093477D">
        <w:rPr>
          <w:lang w:val="en-US"/>
        </w:rPr>
        <w:t>(</w:t>
      </w:r>
      <w:r w:rsidRPr="0093477D">
        <w:rPr>
          <w:b/>
          <w:lang w:val="en-US"/>
        </w:rPr>
        <w:t>A</w:t>
      </w:r>
      <w:r w:rsidRPr="0093477D">
        <w:rPr>
          <w:lang w:val="en-US"/>
        </w:rPr>
        <w:t xml:space="preserve">) </w:t>
      </w:r>
      <w:proofErr w:type="spellStart"/>
      <w:r w:rsidRPr="0093477D">
        <w:rPr>
          <w:lang w:val="en-US"/>
        </w:rPr>
        <w:t>Immunoblotting</w:t>
      </w:r>
      <w:proofErr w:type="spellEnd"/>
      <w:r w:rsidRPr="0093477D">
        <w:rPr>
          <w:lang w:val="en-US"/>
        </w:rPr>
        <w:t xml:space="preserve"> of AHR protein in the obtained </w:t>
      </w:r>
      <w:proofErr w:type="spellStart"/>
      <w:r w:rsidRPr="0093477D">
        <w:rPr>
          <w:lang w:val="en-US"/>
        </w:rPr>
        <w:t>osteosarcoma</w:t>
      </w:r>
      <w:proofErr w:type="spellEnd"/>
      <w:r w:rsidRPr="0093477D">
        <w:rPr>
          <w:lang w:val="en-US"/>
        </w:rPr>
        <w:t xml:space="preserve"> cell cultures O.src20/18, O.src17/18, O.src25/16 and (</w:t>
      </w:r>
      <w:r w:rsidRPr="0093477D">
        <w:rPr>
          <w:b/>
          <w:lang w:val="en-US"/>
        </w:rPr>
        <w:t>B</w:t>
      </w:r>
      <w:r w:rsidRPr="0093477D">
        <w:rPr>
          <w:lang w:val="en-US"/>
        </w:rPr>
        <w:t>) in noncancerous cell lines (HEK293, MSC). GAPDH was the reference protein.</w:t>
      </w:r>
    </w:p>
    <w:p w:rsidR="00E95CD0" w:rsidRPr="00E95CD0" w:rsidRDefault="00E95CD0" w:rsidP="00E95CD0">
      <w:pPr>
        <w:spacing w:line="360" w:lineRule="auto"/>
        <w:jc w:val="both"/>
        <w:rPr>
          <w:lang w:val="en-US"/>
        </w:rPr>
      </w:pPr>
    </w:p>
    <w:p w:rsidR="00252157" w:rsidRPr="0093477D" w:rsidRDefault="0093477D" w:rsidP="0093477D">
      <w:pPr>
        <w:spacing w:line="360" w:lineRule="auto"/>
        <w:jc w:val="both"/>
        <w:rPr>
          <w:rFonts w:eastAsia="TTC3o00"/>
          <w:lang w:val="en-US"/>
        </w:rPr>
      </w:pPr>
      <w:r w:rsidRPr="0093477D">
        <w:rPr>
          <w:b/>
          <w:bCs/>
          <w:lang w:val="en-US"/>
        </w:rPr>
        <w:t>Fig. 2.</w:t>
      </w:r>
      <w:r w:rsidRPr="0093477D">
        <w:rPr>
          <w:bCs/>
          <w:lang w:val="en-US"/>
        </w:rPr>
        <w:t xml:space="preserve"> Constitutive CYP gene expression in </w:t>
      </w:r>
      <w:proofErr w:type="spellStart"/>
      <w:r w:rsidRPr="0093477D">
        <w:rPr>
          <w:bCs/>
          <w:lang w:val="en-US"/>
        </w:rPr>
        <w:t>osteosarcoma</w:t>
      </w:r>
      <w:proofErr w:type="spellEnd"/>
      <w:r w:rsidRPr="0093477D">
        <w:rPr>
          <w:bCs/>
          <w:lang w:val="en-US"/>
        </w:rPr>
        <w:t xml:space="preserve"> cell cultures without activation by AHR </w:t>
      </w:r>
      <w:proofErr w:type="spellStart"/>
      <w:r w:rsidRPr="0093477D">
        <w:rPr>
          <w:bCs/>
          <w:lang w:val="en-US"/>
        </w:rPr>
        <w:t>ligands</w:t>
      </w:r>
      <w:proofErr w:type="spellEnd"/>
      <w:r w:rsidRPr="0093477D">
        <w:rPr>
          <w:bCs/>
          <w:lang w:val="en-US"/>
        </w:rPr>
        <w:t>. (</w:t>
      </w:r>
      <w:r w:rsidRPr="0093477D">
        <w:rPr>
          <w:b/>
          <w:bCs/>
          <w:lang w:val="en-US"/>
        </w:rPr>
        <w:t>A</w:t>
      </w:r>
      <w:r w:rsidRPr="0093477D">
        <w:rPr>
          <w:bCs/>
          <w:lang w:val="en-US"/>
        </w:rPr>
        <w:t>–</w:t>
      </w:r>
      <w:r w:rsidRPr="0093477D">
        <w:rPr>
          <w:b/>
          <w:bCs/>
          <w:lang w:val="en-US"/>
        </w:rPr>
        <w:t>C</w:t>
      </w:r>
      <w:r w:rsidRPr="0093477D">
        <w:rPr>
          <w:bCs/>
          <w:lang w:val="en-US"/>
        </w:rPr>
        <w:t>): mRNA level</w:t>
      </w:r>
      <w:r>
        <w:rPr>
          <w:bCs/>
          <w:lang w:val="en-US"/>
        </w:rPr>
        <w:t xml:space="preserve"> </w:t>
      </w:r>
      <w:r w:rsidRPr="0093477D">
        <w:rPr>
          <w:bCs/>
          <w:lang w:val="en-US"/>
        </w:rPr>
        <w:t>were aligned relative to cell line O.src17/18. The Y axis represents R = 2</w:t>
      </w:r>
      <w:r w:rsidRPr="0093477D">
        <w:rPr>
          <w:bCs/>
        </w:rPr>
        <w:t>ΔС</w:t>
      </w:r>
      <w:r w:rsidRPr="0093477D">
        <w:rPr>
          <w:bCs/>
          <w:lang w:val="en-US"/>
        </w:rPr>
        <w:t>t, i.e., the ratio of mRNA quantity of the target gene</w:t>
      </w:r>
      <w:r>
        <w:rPr>
          <w:bCs/>
          <w:lang w:val="en-US"/>
        </w:rPr>
        <w:t xml:space="preserve"> </w:t>
      </w:r>
      <w:r w:rsidRPr="0093477D">
        <w:rPr>
          <w:bCs/>
          <w:lang w:val="en-US"/>
        </w:rPr>
        <w:t>to the mRNA quantity of housekeeping genes GAPDH and HPRT1.</w:t>
      </w:r>
    </w:p>
    <w:sectPr w:rsidR="00252157" w:rsidRPr="0093477D" w:rsidSect="0019272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F7" w:rsidRDefault="009412F7">
      <w:r>
        <w:separator/>
      </w:r>
    </w:p>
  </w:endnote>
  <w:endnote w:type="continuationSeparator" w:id="0">
    <w:p w:rsidR="009412F7" w:rsidRDefault="0094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TC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46" w:rsidRDefault="00BA17ED">
    <w:pPr>
      <w:pStyle w:val="a5"/>
      <w:jc w:val="center"/>
    </w:pPr>
    <w:fldSimple w:instr="PAGE   \* MERGEFORMAT">
      <w:r w:rsidR="007F5437">
        <w:rPr>
          <w:noProof/>
        </w:rPr>
        <w:t>2</w:t>
      </w:r>
    </w:fldSimple>
  </w:p>
  <w:p w:rsidR="006F4846" w:rsidRDefault="006F48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F7" w:rsidRDefault="009412F7">
      <w:r>
        <w:separator/>
      </w:r>
    </w:p>
  </w:footnote>
  <w:footnote w:type="continuationSeparator" w:id="0">
    <w:p w:rsidR="009412F7" w:rsidRDefault="00941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7A22"/>
    <w:multiLevelType w:val="hybridMultilevel"/>
    <w:tmpl w:val="685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7AF"/>
    <w:rsid w:val="00004798"/>
    <w:rsid w:val="00005A9A"/>
    <w:rsid w:val="0001404F"/>
    <w:rsid w:val="00014818"/>
    <w:rsid w:val="00031C1F"/>
    <w:rsid w:val="00050E04"/>
    <w:rsid w:val="000763AC"/>
    <w:rsid w:val="00093DAC"/>
    <w:rsid w:val="000A0DA8"/>
    <w:rsid w:val="000A38FF"/>
    <w:rsid w:val="000A58E6"/>
    <w:rsid w:val="000A5D82"/>
    <w:rsid w:val="000B57FB"/>
    <w:rsid w:val="000C6FF4"/>
    <w:rsid w:val="000D2290"/>
    <w:rsid w:val="00103C0A"/>
    <w:rsid w:val="00112314"/>
    <w:rsid w:val="001133CA"/>
    <w:rsid w:val="001232DB"/>
    <w:rsid w:val="001256CC"/>
    <w:rsid w:val="00130C9B"/>
    <w:rsid w:val="001370C4"/>
    <w:rsid w:val="00171CB4"/>
    <w:rsid w:val="001731B3"/>
    <w:rsid w:val="00192723"/>
    <w:rsid w:val="0019350B"/>
    <w:rsid w:val="001A202E"/>
    <w:rsid w:val="001A371C"/>
    <w:rsid w:val="001D0FFA"/>
    <w:rsid w:val="001D5888"/>
    <w:rsid w:val="00204DCD"/>
    <w:rsid w:val="00210FBD"/>
    <w:rsid w:val="00236D9E"/>
    <w:rsid w:val="00252157"/>
    <w:rsid w:val="00253074"/>
    <w:rsid w:val="00261684"/>
    <w:rsid w:val="002660F5"/>
    <w:rsid w:val="002673C4"/>
    <w:rsid w:val="00267C73"/>
    <w:rsid w:val="00285431"/>
    <w:rsid w:val="00287062"/>
    <w:rsid w:val="00294039"/>
    <w:rsid w:val="00296BB6"/>
    <w:rsid w:val="002A12F6"/>
    <w:rsid w:val="002B1FDC"/>
    <w:rsid w:val="002B2549"/>
    <w:rsid w:val="002C2306"/>
    <w:rsid w:val="002D5AAC"/>
    <w:rsid w:val="002E3399"/>
    <w:rsid w:val="002E3BFD"/>
    <w:rsid w:val="0030498B"/>
    <w:rsid w:val="00305315"/>
    <w:rsid w:val="00306EE4"/>
    <w:rsid w:val="00322591"/>
    <w:rsid w:val="00341AD8"/>
    <w:rsid w:val="003508F4"/>
    <w:rsid w:val="0035725D"/>
    <w:rsid w:val="003572FC"/>
    <w:rsid w:val="003610CC"/>
    <w:rsid w:val="00361EF6"/>
    <w:rsid w:val="00374190"/>
    <w:rsid w:val="00386BC7"/>
    <w:rsid w:val="003B1AF1"/>
    <w:rsid w:val="003D0F38"/>
    <w:rsid w:val="003D4F84"/>
    <w:rsid w:val="003D6AEB"/>
    <w:rsid w:val="003D7F5C"/>
    <w:rsid w:val="003E67EA"/>
    <w:rsid w:val="003F1C14"/>
    <w:rsid w:val="003F715D"/>
    <w:rsid w:val="004222B0"/>
    <w:rsid w:val="004301A4"/>
    <w:rsid w:val="00436368"/>
    <w:rsid w:val="00462E91"/>
    <w:rsid w:val="004663B1"/>
    <w:rsid w:val="00477C0A"/>
    <w:rsid w:val="00487BB2"/>
    <w:rsid w:val="004A39DB"/>
    <w:rsid w:val="004A781C"/>
    <w:rsid w:val="004B1218"/>
    <w:rsid w:val="004B1395"/>
    <w:rsid w:val="004B5C11"/>
    <w:rsid w:val="004C0A01"/>
    <w:rsid w:val="004C1F28"/>
    <w:rsid w:val="004C795E"/>
    <w:rsid w:val="004D6AF1"/>
    <w:rsid w:val="004E10D6"/>
    <w:rsid w:val="004E2C3B"/>
    <w:rsid w:val="00504144"/>
    <w:rsid w:val="00513ED5"/>
    <w:rsid w:val="00520A93"/>
    <w:rsid w:val="00523FF0"/>
    <w:rsid w:val="00532F83"/>
    <w:rsid w:val="005335C2"/>
    <w:rsid w:val="005375F6"/>
    <w:rsid w:val="00541640"/>
    <w:rsid w:val="00541CF7"/>
    <w:rsid w:val="00550582"/>
    <w:rsid w:val="00553F6F"/>
    <w:rsid w:val="005744DB"/>
    <w:rsid w:val="00577035"/>
    <w:rsid w:val="00582AF5"/>
    <w:rsid w:val="00584578"/>
    <w:rsid w:val="005A145E"/>
    <w:rsid w:val="005B7708"/>
    <w:rsid w:val="00611AB1"/>
    <w:rsid w:val="00611DBC"/>
    <w:rsid w:val="00612A01"/>
    <w:rsid w:val="00612C5C"/>
    <w:rsid w:val="00625EA8"/>
    <w:rsid w:val="00644C92"/>
    <w:rsid w:val="00667E8C"/>
    <w:rsid w:val="00684C3D"/>
    <w:rsid w:val="006A7A99"/>
    <w:rsid w:val="006B6418"/>
    <w:rsid w:val="006C0351"/>
    <w:rsid w:val="006C38F2"/>
    <w:rsid w:val="006D03BF"/>
    <w:rsid w:val="006D321B"/>
    <w:rsid w:val="006D3849"/>
    <w:rsid w:val="006D6E78"/>
    <w:rsid w:val="006E0DF7"/>
    <w:rsid w:val="006E4001"/>
    <w:rsid w:val="006F4846"/>
    <w:rsid w:val="0071070E"/>
    <w:rsid w:val="00711787"/>
    <w:rsid w:val="00714D06"/>
    <w:rsid w:val="00716EC2"/>
    <w:rsid w:val="00717239"/>
    <w:rsid w:val="007203EF"/>
    <w:rsid w:val="007303B4"/>
    <w:rsid w:val="0073154D"/>
    <w:rsid w:val="00735FF5"/>
    <w:rsid w:val="007626BA"/>
    <w:rsid w:val="00785D04"/>
    <w:rsid w:val="007C5599"/>
    <w:rsid w:val="007E5D0E"/>
    <w:rsid w:val="007F2D0F"/>
    <w:rsid w:val="007F5437"/>
    <w:rsid w:val="00801A99"/>
    <w:rsid w:val="008107AC"/>
    <w:rsid w:val="008157AF"/>
    <w:rsid w:val="00815E61"/>
    <w:rsid w:val="00820800"/>
    <w:rsid w:val="00835C1F"/>
    <w:rsid w:val="00851F96"/>
    <w:rsid w:val="008621E8"/>
    <w:rsid w:val="008654D8"/>
    <w:rsid w:val="00870DF5"/>
    <w:rsid w:val="00871B09"/>
    <w:rsid w:val="00873394"/>
    <w:rsid w:val="00891867"/>
    <w:rsid w:val="008A26E3"/>
    <w:rsid w:val="008A4189"/>
    <w:rsid w:val="008A7A00"/>
    <w:rsid w:val="008C0969"/>
    <w:rsid w:val="008C5C1C"/>
    <w:rsid w:val="008F1DA2"/>
    <w:rsid w:val="0091453F"/>
    <w:rsid w:val="00922FE8"/>
    <w:rsid w:val="00927C61"/>
    <w:rsid w:val="00931629"/>
    <w:rsid w:val="0093477D"/>
    <w:rsid w:val="009412F7"/>
    <w:rsid w:val="009652D2"/>
    <w:rsid w:val="00970743"/>
    <w:rsid w:val="009723F7"/>
    <w:rsid w:val="0098163E"/>
    <w:rsid w:val="009954E0"/>
    <w:rsid w:val="00996E14"/>
    <w:rsid w:val="009C26DF"/>
    <w:rsid w:val="009E7A81"/>
    <w:rsid w:val="00A01558"/>
    <w:rsid w:val="00A04459"/>
    <w:rsid w:val="00A360AD"/>
    <w:rsid w:val="00A7497D"/>
    <w:rsid w:val="00A82E3E"/>
    <w:rsid w:val="00A87F70"/>
    <w:rsid w:val="00A96F64"/>
    <w:rsid w:val="00AB5B43"/>
    <w:rsid w:val="00AD0CDE"/>
    <w:rsid w:val="00AF2A92"/>
    <w:rsid w:val="00AF2D49"/>
    <w:rsid w:val="00AF3035"/>
    <w:rsid w:val="00B14969"/>
    <w:rsid w:val="00B16629"/>
    <w:rsid w:val="00B2687F"/>
    <w:rsid w:val="00B463DC"/>
    <w:rsid w:val="00B6295E"/>
    <w:rsid w:val="00B81CCC"/>
    <w:rsid w:val="00B927FF"/>
    <w:rsid w:val="00BA17ED"/>
    <w:rsid w:val="00BA2970"/>
    <w:rsid w:val="00BC2FE6"/>
    <w:rsid w:val="00BD72DB"/>
    <w:rsid w:val="00BE31AC"/>
    <w:rsid w:val="00C1428B"/>
    <w:rsid w:val="00C53A36"/>
    <w:rsid w:val="00C7606C"/>
    <w:rsid w:val="00C955DC"/>
    <w:rsid w:val="00CA0135"/>
    <w:rsid w:val="00CA1ED4"/>
    <w:rsid w:val="00CA23A9"/>
    <w:rsid w:val="00CA2A35"/>
    <w:rsid w:val="00CA7CAD"/>
    <w:rsid w:val="00CB301F"/>
    <w:rsid w:val="00CE11A9"/>
    <w:rsid w:val="00CE11DA"/>
    <w:rsid w:val="00CE2819"/>
    <w:rsid w:val="00CE29ED"/>
    <w:rsid w:val="00D5655B"/>
    <w:rsid w:val="00D675F7"/>
    <w:rsid w:val="00D82FB1"/>
    <w:rsid w:val="00D85BEB"/>
    <w:rsid w:val="00DA16D7"/>
    <w:rsid w:val="00DA3AD1"/>
    <w:rsid w:val="00DC5DC4"/>
    <w:rsid w:val="00DD3CD9"/>
    <w:rsid w:val="00DF113C"/>
    <w:rsid w:val="00E220F9"/>
    <w:rsid w:val="00E36DCD"/>
    <w:rsid w:val="00E526F7"/>
    <w:rsid w:val="00E5337B"/>
    <w:rsid w:val="00E6401A"/>
    <w:rsid w:val="00E65128"/>
    <w:rsid w:val="00E90416"/>
    <w:rsid w:val="00E91B93"/>
    <w:rsid w:val="00E92D89"/>
    <w:rsid w:val="00E95CD0"/>
    <w:rsid w:val="00EC43DA"/>
    <w:rsid w:val="00EE10E6"/>
    <w:rsid w:val="00EE5949"/>
    <w:rsid w:val="00EE6E6C"/>
    <w:rsid w:val="00F052F2"/>
    <w:rsid w:val="00F11556"/>
    <w:rsid w:val="00F21C72"/>
    <w:rsid w:val="00F2467A"/>
    <w:rsid w:val="00F343A6"/>
    <w:rsid w:val="00F3614B"/>
    <w:rsid w:val="00F464E1"/>
    <w:rsid w:val="00F6088D"/>
    <w:rsid w:val="00F65DC6"/>
    <w:rsid w:val="00F67D25"/>
    <w:rsid w:val="00F70C5C"/>
    <w:rsid w:val="00F81179"/>
    <w:rsid w:val="00F830AE"/>
    <w:rsid w:val="00FC4047"/>
    <w:rsid w:val="00FF2C3D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7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7AF"/>
  </w:style>
  <w:style w:type="character" w:styleId="a3">
    <w:name w:val="Strong"/>
    <w:uiPriority w:val="22"/>
    <w:qFormat/>
    <w:rsid w:val="008157AF"/>
    <w:rPr>
      <w:b/>
      <w:bCs/>
    </w:rPr>
  </w:style>
  <w:style w:type="paragraph" w:styleId="a4">
    <w:name w:val="header"/>
    <w:basedOn w:val="a"/>
    <w:rsid w:val="0000479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04798"/>
    <w:pPr>
      <w:tabs>
        <w:tab w:val="center" w:pos="4677"/>
        <w:tab w:val="right" w:pos="9355"/>
      </w:tabs>
    </w:pPr>
  </w:style>
  <w:style w:type="paragraph" w:customStyle="1" w:styleId="D-za-auth-info">
    <w:name w:val="D-za-auth-info"/>
    <w:basedOn w:val="a"/>
    <w:link w:val="D-za-auth-info0"/>
    <w:uiPriority w:val="99"/>
    <w:rsid w:val="00785D04"/>
    <w:pPr>
      <w:suppressAutoHyphens/>
      <w:spacing w:after="120" w:line="288" w:lineRule="auto"/>
      <w:ind w:right="1701"/>
    </w:pPr>
    <w:rPr>
      <w:rFonts w:ascii="Arial" w:hAnsi="Arial"/>
      <w:i/>
      <w:sz w:val="20"/>
      <w:szCs w:val="20"/>
    </w:rPr>
  </w:style>
  <w:style w:type="character" w:customStyle="1" w:styleId="D-za-auth-info0">
    <w:name w:val="D-za-auth-info Знак"/>
    <w:link w:val="D-za-auth-info"/>
    <w:uiPriority w:val="99"/>
    <w:locked/>
    <w:rsid w:val="00785D04"/>
    <w:rPr>
      <w:rFonts w:ascii="Arial" w:hAnsi="Arial"/>
      <w:i/>
      <w:lang w:val="ru-RU" w:eastAsia="ru-RU" w:bidi="ar-SA"/>
    </w:rPr>
  </w:style>
  <w:style w:type="character" w:customStyle="1" w:styleId="st">
    <w:name w:val="st"/>
    <w:basedOn w:val="a0"/>
    <w:rsid w:val="004222B0"/>
  </w:style>
  <w:style w:type="paragraph" w:customStyle="1" w:styleId="Default">
    <w:name w:val="Default"/>
    <w:rsid w:val="004E10D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6F4846"/>
    <w:rPr>
      <w:sz w:val="24"/>
      <w:szCs w:val="24"/>
    </w:rPr>
  </w:style>
  <w:style w:type="paragraph" w:styleId="a7">
    <w:name w:val="List Paragraph"/>
    <w:basedOn w:val="a"/>
    <w:uiPriority w:val="34"/>
    <w:qFormat/>
    <w:rsid w:val="00252157"/>
    <w:pPr>
      <w:ind w:left="720"/>
      <w:contextualSpacing/>
    </w:pPr>
  </w:style>
  <w:style w:type="table" w:styleId="a8">
    <w:name w:val="Table Grid"/>
    <w:basedOn w:val="a1"/>
    <w:rsid w:val="00361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C1F28"/>
    <w:rPr>
      <w:color w:val="0563C1"/>
      <w:u w:val="single"/>
    </w:rPr>
  </w:style>
  <w:style w:type="paragraph" w:customStyle="1" w:styleId="ConsPlusNormal">
    <w:name w:val="ConsPlusNormal"/>
    <w:rsid w:val="004C1F28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aa">
    <w:name w:val="Body Text"/>
    <w:basedOn w:val="a"/>
    <w:link w:val="ab"/>
    <w:rsid w:val="0030498B"/>
    <w:pPr>
      <w:suppressAutoHyphens/>
      <w:spacing w:after="120"/>
    </w:pPr>
    <w:rPr>
      <w:rFonts w:ascii="Calibri" w:hAnsi="Calibri" w:cs="Calibri"/>
      <w:lang w:val="en-US" w:eastAsia="ar-SA" w:bidi="en-US"/>
    </w:rPr>
  </w:style>
  <w:style w:type="character" w:customStyle="1" w:styleId="ab">
    <w:name w:val="Основной текст Знак"/>
    <w:link w:val="aa"/>
    <w:rsid w:val="0030498B"/>
    <w:rPr>
      <w:rFonts w:ascii="Calibri" w:hAnsi="Calibri" w:cs="Calibri"/>
      <w:sz w:val="24"/>
      <w:szCs w:val="24"/>
      <w:lang w:val="en-US" w:eastAsia="ar-SA" w:bidi="en-US"/>
    </w:rPr>
  </w:style>
  <w:style w:type="character" w:styleId="ac">
    <w:name w:val="Emphasis"/>
    <w:uiPriority w:val="20"/>
    <w:qFormat/>
    <w:rsid w:val="00112314"/>
    <w:rPr>
      <w:i/>
      <w:iCs/>
    </w:rPr>
  </w:style>
  <w:style w:type="paragraph" w:styleId="ad">
    <w:name w:val="Balloon Text"/>
    <w:basedOn w:val="a"/>
    <w:link w:val="ae"/>
    <w:rsid w:val="0097074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70743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970743"/>
    <w:rPr>
      <w:sz w:val="16"/>
      <w:szCs w:val="16"/>
    </w:rPr>
  </w:style>
  <w:style w:type="paragraph" w:styleId="af0">
    <w:name w:val="annotation text"/>
    <w:basedOn w:val="a"/>
    <w:link w:val="af1"/>
    <w:rsid w:val="00970743"/>
    <w:rPr>
      <w:sz w:val="20"/>
      <w:szCs w:val="20"/>
    </w:rPr>
  </w:style>
  <w:style w:type="character" w:customStyle="1" w:styleId="af1">
    <w:name w:val="Текст примечания Знак"/>
    <w:link w:val="af0"/>
    <w:rsid w:val="00970743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970743"/>
    <w:rPr>
      <w:b/>
      <w:bCs/>
    </w:rPr>
  </w:style>
  <w:style w:type="character" w:customStyle="1" w:styleId="af3">
    <w:name w:val="Тема примечания Знак"/>
    <w:link w:val="af2"/>
    <w:rsid w:val="00970743"/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83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4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3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79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85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3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46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14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302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28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79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9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9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6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214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32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D0384-EB05-480C-B48C-C62924D3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"Изучение функциональности арил-гидрокарбонового рецептора в культуре клеток остеосаркомы"</vt:lpstr>
    </vt:vector>
  </TitlesOfParts>
  <Company>Krokoz™</Company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"Изучение функциональности арил-гидрокарбонового рецептора в культуре клеток остеосаркомы"</dc:title>
  <dc:creator>julia</dc:creator>
  <cp:lastModifiedBy>Аминьево</cp:lastModifiedBy>
  <cp:revision>2</cp:revision>
  <cp:lastPrinted>2019-03-22T08:17:00Z</cp:lastPrinted>
  <dcterms:created xsi:type="dcterms:W3CDTF">2025-04-11T12:04:00Z</dcterms:created>
  <dcterms:modified xsi:type="dcterms:W3CDTF">2025-04-11T12:04:00Z</dcterms:modified>
</cp:coreProperties>
</file>