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Экзаменационные вопросы по курсу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«Метаболическая инженерия» 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МГУ – Биологический факультет – 2021</w:t>
      </w:r>
    </w:p>
    <w:p>
      <w:pPr>
        <w:pStyle w:val="Normal"/>
        <w:ind w:left="851" w:hanging="709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numPr>
          <w:ilvl w:val="0"/>
          <w:numId w:val="1"/>
        </w:numPr>
        <w:rPr>
          <w:rFonts w:ascii="Arial" w:hAnsi="Arial" w:cs="Arial"/>
        </w:rPr>
      </w:pPr>
      <w:r>
        <w:rPr>
          <w:rFonts w:cs="Arial" w:ascii="Arial" w:hAnsi="Arial"/>
        </w:rPr>
        <w:t>Метаболическая инженерия – определение; фундаментальная направленность исследований и их практическая значимость. Этапы развития, методологическая основа и принципиальные различия.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851" w:hanging="709"/>
        <w:rPr>
          <w:rFonts w:ascii="Arial" w:hAnsi="Arial" w:cs="Arial"/>
        </w:rPr>
      </w:pPr>
      <w:r>
        <w:rPr>
          <w:rFonts w:cs="Arial" w:ascii="Arial" w:hAnsi="Arial"/>
        </w:rPr>
        <w:t>К тридцатилетию МИ в 2021 г. – примеры выдающихся успехов (создание продуцентов АК, 1,3-пропандиол, 7-</w:t>
      </w:r>
      <w:r>
        <w:rPr>
          <w:rFonts w:cs="Arial" w:ascii="Arial" w:hAnsi="Arial"/>
          <w:lang w:val="en-US"/>
        </w:rPr>
        <w:t>ADCA</w:t>
      </w:r>
      <w:r>
        <w:rPr>
          <w:rFonts w:cs="Arial" w:ascii="Arial" w:hAnsi="Arial"/>
        </w:rPr>
        <w:t>, 1,4-бутандиол, артеминизин, изо-бутанол).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851" w:hanging="709"/>
        <w:rPr>
          <w:rFonts w:ascii="Arial" w:hAnsi="Arial" w:cs="Arial"/>
        </w:rPr>
      </w:pPr>
      <w:r>
        <w:rPr>
          <w:rFonts w:cs="Arial" w:ascii="Arial" w:hAnsi="Arial"/>
        </w:rPr>
        <w:t>Примеры экспериментов МИ, направленных на повышение эффективности традиционных производств. Актуальность и промышленные перспективы микробного синтеза антибиотиков, АК, и др. практически значимых соединений.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851" w:hanging="709"/>
        <w:rPr>
          <w:rFonts w:ascii="Arial" w:hAnsi="Arial" w:cs="Arial"/>
        </w:rPr>
      </w:pPr>
      <w:r>
        <w:rPr>
          <w:rFonts w:cs="Arial" w:ascii="Arial" w:hAnsi="Arial"/>
        </w:rPr>
        <w:t>Использование МИ для рентабельной утилизации нового промышленного сырья (</w:t>
      </w:r>
      <w:r>
        <w:rPr>
          <w:rFonts w:cs="Arial" w:ascii="Arial" w:hAnsi="Arial"/>
          <w:lang w:val="en-US"/>
        </w:rPr>
        <w:t>raw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material</w:t>
      </w:r>
      <w:r>
        <w:rPr>
          <w:rFonts w:cs="Arial" w:ascii="Arial" w:hAnsi="Arial"/>
        </w:rPr>
        <w:t>). Возможные перспективы использования новых видов сырья для биотехнологической промышленности.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851" w:hanging="709"/>
        <w:rPr>
          <w:rFonts w:ascii="Arial" w:hAnsi="Arial" w:cs="Arial"/>
        </w:rPr>
      </w:pPr>
      <w:r>
        <w:rPr>
          <w:rFonts w:cs="Arial" w:ascii="Arial" w:hAnsi="Arial"/>
        </w:rPr>
        <w:t xml:space="preserve">Что такое «bio-based chemicals», каковы перспективы производства с использованием МИ.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851" w:hanging="709"/>
        <w:rPr>
          <w:rFonts w:ascii="Arial" w:hAnsi="Arial" w:cs="Arial"/>
        </w:rPr>
      </w:pPr>
      <w:r>
        <w:rPr>
          <w:rFonts w:cs="Arial" w:ascii="Arial" w:hAnsi="Arial"/>
        </w:rPr>
        <w:t>Аминокислоты – традиционный продукт биотехнологии и «</w:t>
      </w:r>
      <w:r>
        <w:rPr>
          <w:rFonts w:cs="Arial" w:ascii="Arial" w:hAnsi="Arial"/>
          <w:lang w:val="en-US"/>
        </w:rPr>
        <w:t>target</w:t>
      </w:r>
      <w:r>
        <w:rPr>
          <w:rFonts w:cs="Arial" w:ascii="Arial" w:hAnsi="Arial"/>
        </w:rPr>
        <w:t>» для МИ. Успехи генетической селекции продуцентов аминокислот. Современные пути создания штаммов-продуцентов АК.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851" w:hanging="709"/>
        <w:rPr>
          <w:rFonts w:ascii="Arial" w:hAnsi="Arial" w:cs="Arial"/>
        </w:rPr>
      </w:pPr>
      <w:r>
        <w:rPr>
          <w:rFonts w:cs="Arial" w:ascii="Arial" w:hAnsi="Arial"/>
        </w:rPr>
        <w:t>В чем принципиальное различие в раннем и современном использовании методов Мутагенеза и селекции. Понятия Обратной/Инвертированной (</w:t>
      </w:r>
      <w:r>
        <w:rPr>
          <w:rFonts w:cs="Arial" w:ascii="Arial" w:hAnsi="Arial"/>
          <w:lang w:val="en-US"/>
        </w:rPr>
        <w:t>Inverse</w:t>
      </w:r>
      <w:r>
        <w:rPr>
          <w:rFonts w:cs="Arial" w:ascii="Arial" w:hAnsi="Arial"/>
        </w:rPr>
        <w:t>) генетики.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851" w:hanging="709"/>
        <w:rPr>
          <w:rFonts w:ascii="Arial" w:hAnsi="Arial" w:cs="Arial"/>
        </w:rPr>
      </w:pPr>
      <w:r>
        <w:rPr>
          <w:rFonts w:cs="Arial" w:ascii="Arial" w:hAnsi="Arial"/>
        </w:rPr>
        <w:t>Современные</w:t>
      </w:r>
      <w:r>
        <w:rPr>
          <w:rFonts w:cs="Arial" w:ascii="Arial" w:hAnsi="Arial"/>
          <w:lang w:val="ru-RU"/>
        </w:rPr>
        <w:t xml:space="preserve"> </w:t>
      </w:r>
      <w:r>
        <w:rPr>
          <w:rFonts w:cs="Arial" w:ascii="Arial" w:hAnsi="Arial"/>
        </w:rPr>
        <w:t>методы</w:t>
      </w:r>
      <w:r>
        <w:rPr>
          <w:rFonts w:cs="Arial" w:ascii="Arial" w:hAnsi="Arial"/>
          <w:lang w:val="ru-RU"/>
        </w:rPr>
        <w:t xml:space="preserve"> </w:t>
      </w:r>
      <w:r>
        <w:rPr>
          <w:rFonts w:cs="Arial" w:ascii="Arial" w:hAnsi="Arial"/>
        </w:rPr>
        <w:t>мутагенеза</w:t>
      </w:r>
      <w:r>
        <w:rPr>
          <w:rFonts w:cs="Arial" w:ascii="Arial" w:hAnsi="Arial"/>
          <w:lang w:val="ru-RU"/>
        </w:rPr>
        <w:t xml:space="preserve">. </w:t>
      </w:r>
      <w:r>
        <w:rPr>
          <w:rFonts w:cs="Arial" w:ascii="Arial" w:hAnsi="Arial"/>
        </w:rPr>
        <w:t xml:space="preserve">Необходимость развития и значимость </w:t>
      </w:r>
      <w:r>
        <w:rPr>
          <w:rFonts w:cs="Arial" w:ascii="Arial" w:hAnsi="Arial"/>
          <w:lang w:val="en-US"/>
        </w:rPr>
        <w:t>HT</w:t>
      </w:r>
      <w:r>
        <w:rPr>
          <w:rFonts w:cs="Arial" w:ascii="Arial" w:hAnsi="Arial"/>
        </w:rPr>
        <w:t xml:space="preserve"> (</w:t>
      </w:r>
      <w:r>
        <w:rPr>
          <w:rFonts w:cs="Arial" w:ascii="Arial" w:hAnsi="Arial"/>
          <w:lang w:val="en-US"/>
        </w:rPr>
        <w:t>high</w:t>
      </w:r>
      <w:r>
        <w:rPr>
          <w:rFonts w:cs="Arial" w:ascii="Arial" w:hAnsi="Arial"/>
        </w:rPr>
        <w:t>-</w:t>
      </w:r>
      <w:r>
        <w:rPr>
          <w:rFonts w:cs="Arial" w:ascii="Arial" w:hAnsi="Arial"/>
          <w:lang w:val="en-US"/>
        </w:rPr>
        <w:t>throughput</w:t>
      </w:r>
      <w:r>
        <w:rPr>
          <w:rFonts w:cs="Arial" w:ascii="Arial" w:hAnsi="Arial"/>
        </w:rPr>
        <w:t>)-</w:t>
      </w:r>
      <w:r>
        <w:rPr>
          <w:rFonts w:cs="Arial" w:ascii="Arial" w:hAnsi="Arial"/>
          <w:lang w:val="en-US"/>
        </w:rPr>
        <w:t>based</w:t>
      </w:r>
      <w:r>
        <w:rPr>
          <w:rFonts w:cs="Arial" w:ascii="Arial" w:hAnsi="Arial"/>
        </w:rPr>
        <w:t xml:space="preserve"> подходов для современной МИ.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851" w:hanging="709"/>
        <w:rPr>
          <w:rFonts w:ascii="Arial" w:hAnsi="Arial" w:cs="Arial"/>
        </w:rPr>
      </w:pPr>
      <w:r>
        <w:rPr>
          <w:rFonts w:cs="Arial" w:ascii="Arial" w:hAnsi="Arial"/>
        </w:rPr>
        <w:t xml:space="preserve">Современные методы редактирования геномов микроорганизмов. От плазмидных модификаций до «рандомизации» целевых последовательностей в хромосоме на основе </w:t>
      </w:r>
      <w:r>
        <w:rPr>
          <w:rFonts w:cs="Arial" w:ascii="Arial" w:hAnsi="Arial"/>
          <w:lang w:val="en-US"/>
        </w:rPr>
        <w:t>Recombineering</w:t>
      </w:r>
      <w:r>
        <w:rPr>
          <w:rFonts w:cs="Arial" w:ascii="Arial" w:hAnsi="Arial"/>
        </w:rPr>
        <w:t xml:space="preserve"> с селекцией (устойчивость к антибиотикам) и контра-селекцией (</w:t>
      </w:r>
      <w:r>
        <w:rPr>
          <w:rFonts w:cs="Arial" w:ascii="Arial" w:hAnsi="Arial"/>
          <w:lang w:val="en-US"/>
        </w:rPr>
        <w:t>SacB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lang w:val="en-US"/>
        </w:rPr>
        <w:t>I</w:t>
      </w:r>
      <w:r>
        <w:rPr>
          <w:rFonts w:cs="Arial" w:ascii="Arial" w:hAnsi="Arial"/>
        </w:rPr>
        <w:t>-</w:t>
      </w:r>
      <w:r>
        <w:rPr>
          <w:rFonts w:cs="Arial" w:ascii="Arial" w:hAnsi="Arial"/>
          <w:lang w:val="en-US"/>
        </w:rPr>
        <w:t>SceI</w:t>
      </w:r>
      <w:r>
        <w:rPr>
          <w:rFonts w:cs="Arial" w:ascii="Arial" w:hAnsi="Arial"/>
        </w:rPr>
        <w:t xml:space="preserve"> и др.).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851" w:hanging="709"/>
        <w:rPr>
          <w:rFonts w:ascii="Arial" w:hAnsi="Arial" w:cs="Arial"/>
        </w:rPr>
      </w:pPr>
      <w:r>
        <w:rPr>
          <w:rFonts w:cs="Arial" w:ascii="Arial" w:hAnsi="Arial"/>
        </w:rPr>
        <w:t xml:space="preserve">Принципы использования </w:t>
      </w:r>
      <w:r>
        <w:rPr>
          <w:rFonts w:cs="Arial" w:ascii="Arial" w:hAnsi="Arial"/>
          <w:lang w:val="en-US"/>
        </w:rPr>
        <w:t>CRISPR</w:t>
      </w:r>
      <w:r>
        <w:rPr>
          <w:rFonts w:cs="Arial" w:ascii="Arial" w:hAnsi="Arial"/>
        </w:rPr>
        <w:t>/</w:t>
      </w:r>
      <w:r>
        <w:rPr>
          <w:rFonts w:cs="Arial" w:ascii="Arial" w:hAnsi="Arial"/>
          <w:lang w:val="en-US"/>
        </w:rPr>
        <w:t>Cas</w:t>
      </w:r>
      <w:r>
        <w:rPr>
          <w:rFonts w:cs="Arial" w:ascii="Arial" w:hAnsi="Arial"/>
        </w:rPr>
        <w:t>9-зависимой контра-селекции для прецизионного редактирования генома микроорганизмов. Перспективы использование для МИ бактерий.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851" w:hanging="709"/>
        <w:rPr>
          <w:rFonts w:ascii="Arial" w:hAnsi="Arial" w:cs="Arial"/>
        </w:rPr>
      </w:pPr>
      <w:r>
        <w:rPr>
          <w:rFonts w:cs="Arial" w:ascii="Arial" w:hAnsi="Arial"/>
        </w:rPr>
        <w:t>В чем принципиальное различие в МИ-ных подходах, использованных для создания продуцентов 1,3-пропандиола и 1,4-бутандиола.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851" w:hanging="709"/>
        <w:rPr>
          <w:rFonts w:ascii="Arial" w:hAnsi="Arial" w:cs="Arial"/>
        </w:rPr>
      </w:pPr>
      <w:r>
        <w:rPr>
          <w:rFonts w:cs="Arial" w:ascii="Arial" w:hAnsi="Arial"/>
        </w:rPr>
        <w:t>Какие факторы лежат в основе решения о создании (модернизации) штамма-продуцента нового или уже известного продукта методами МИ с целью его использования в новом (или уже действующем) промышленном производстве.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851" w:hanging="709"/>
        <w:rPr>
          <w:rFonts w:ascii="Arial" w:hAnsi="Arial" w:cs="Arial"/>
        </w:rPr>
      </w:pPr>
      <w:r>
        <w:rPr>
          <w:rFonts w:cs="Arial" w:ascii="Arial" w:hAnsi="Arial"/>
        </w:rPr>
        <w:t>Какие важнейшие научно-методические и организационные подходы были разработаны и апробированы при создании продуцентов артемизининовой кислоты и затем артемизинина, и какова была благотворительная инициатива авторов препарата.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851" w:hanging="709"/>
        <w:rPr>
          <w:rFonts w:ascii="Arial" w:hAnsi="Arial" w:cs="Arial"/>
        </w:rPr>
      </w:pPr>
      <w:r>
        <w:rPr>
          <w:rFonts w:cs="Arial" w:ascii="Arial" w:hAnsi="Arial"/>
        </w:rPr>
        <w:t xml:space="preserve">Краткий анализ основных этапов и методов изучения метаболизма. Синтез метаболитов предшественников. Генерация внутриклеточной энергии на примере </w:t>
      </w:r>
      <w:r>
        <w:rPr>
          <w:rFonts w:cs="Arial" w:ascii="Arial" w:hAnsi="Arial"/>
          <w:i/>
          <w:lang w:val="en-US"/>
        </w:rPr>
        <w:t>E</w:t>
      </w:r>
      <w:r>
        <w:rPr>
          <w:rFonts w:cs="Arial" w:ascii="Arial" w:hAnsi="Arial"/>
          <w:i/>
        </w:rPr>
        <w:t xml:space="preserve">. </w:t>
      </w:r>
      <w:r>
        <w:rPr>
          <w:rFonts w:cs="Arial" w:ascii="Arial" w:hAnsi="Arial"/>
          <w:i/>
          <w:lang w:val="en-US"/>
        </w:rPr>
        <w:t>coli</w:t>
      </w:r>
      <w:r>
        <w:rPr>
          <w:rFonts w:cs="Arial" w:ascii="Arial" w:hAnsi="Arial"/>
        </w:rPr>
        <w:t>, понятие и представление о метаболической цене основных предшественников и других метаболитов.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851" w:hanging="709"/>
        <w:rPr>
          <w:rFonts w:ascii="Arial" w:hAnsi="Arial" w:cs="Arial"/>
        </w:rPr>
      </w:pPr>
      <w:r>
        <w:rPr>
          <w:rFonts w:cs="Arial" w:ascii="Arial" w:hAnsi="Arial"/>
        </w:rPr>
        <w:t>Современные методы реконструкции Метаболизма по сиквенированному Геному: теоретические возможности, необходимость экспериментального уточнения и проверки.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851" w:hanging="709"/>
        <w:rPr>
          <w:rFonts w:ascii="Arial" w:hAnsi="Arial" w:cs="Arial"/>
        </w:rPr>
      </w:pPr>
      <w:r>
        <w:rPr>
          <w:rFonts w:cs="Arial" w:ascii="Arial" w:hAnsi="Arial"/>
        </w:rPr>
        <w:t xml:space="preserve">Современные методы исследования структуры и функции неизвестных генов и их белковых продуктов. Что можно сказать о неизвестных генах в геномах самых изученных объектов (например, </w:t>
      </w:r>
      <w:r>
        <w:rPr>
          <w:rFonts w:cs="Arial" w:ascii="Arial" w:hAnsi="Arial"/>
          <w:i/>
          <w:lang w:val="en-US"/>
        </w:rPr>
        <w:t>E</w:t>
      </w:r>
      <w:r>
        <w:rPr>
          <w:rFonts w:cs="Arial" w:ascii="Arial" w:hAnsi="Arial"/>
          <w:i/>
        </w:rPr>
        <w:t xml:space="preserve">. </w:t>
      </w:r>
      <w:r>
        <w:rPr>
          <w:rFonts w:cs="Arial" w:ascii="Arial" w:hAnsi="Arial"/>
          <w:i/>
          <w:lang w:val="en-US"/>
        </w:rPr>
        <w:t>coli</w:t>
      </w:r>
      <w:r>
        <w:rPr>
          <w:rFonts w:cs="Arial" w:ascii="Arial" w:hAnsi="Arial"/>
        </w:rPr>
        <w:t>).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851" w:hanging="709"/>
        <w:rPr>
          <w:rFonts w:ascii="Arial" w:hAnsi="Arial" w:cs="Arial"/>
        </w:rPr>
      </w:pPr>
      <w:r>
        <w:rPr>
          <w:rFonts w:cs="Arial" w:ascii="Arial" w:hAnsi="Arial"/>
        </w:rPr>
        <w:t>Транскриптомика – роль в Х-омных исследованиях в системной биологии, суть метода и эволюция экспериментальных подходов. Примеры обнаружения генов «новых ферментов». Роль «Транскриптомики» в поиске новых генов.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851" w:hanging="709"/>
        <w:rPr>
          <w:rFonts w:ascii="Arial" w:hAnsi="Arial" w:cs="Arial"/>
        </w:rPr>
      </w:pPr>
      <w:r>
        <w:rPr>
          <w:rFonts w:cs="Arial" w:ascii="Arial" w:hAnsi="Arial"/>
        </w:rPr>
        <w:t>Изучение метаболических ферментов. Преимущества использования методов «Протеомики» в современных исследованиях структуры и функции белков.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851" w:hanging="709"/>
        <w:rPr>
          <w:rFonts w:ascii="Arial" w:hAnsi="Arial" w:cs="Arial"/>
        </w:rPr>
      </w:pPr>
      <w:r>
        <w:rPr>
          <w:rFonts w:cs="Arial" w:ascii="Arial" w:hAnsi="Arial"/>
        </w:rPr>
        <w:t>Метаболическая регуляция ферментов в природе - распространенность, роль, мишень. Почему в клетке большая доля ферментов в норме работает на достаточно малом уровне своей потенциальной активности.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851" w:hanging="709"/>
        <w:rPr>
          <w:rFonts w:ascii="Arial" w:hAnsi="Arial" w:cs="Arial"/>
        </w:rPr>
      </w:pPr>
      <w:r>
        <w:rPr>
          <w:rFonts w:cs="Arial" w:ascii="Arial" w:hAnsi="Arial"/>
        </w:rPr>
        <w:t xml:space="preserve">Два принципиально различных направления исследований современной Флуксомики – </w:t>
      </w:r>
      <w:r>
        <w:rPr>
          <w:rFonts w:cs="Arial" w:ascii="Arial" w:hAnsi="Arial"/>
          <w:lang w:val="en-US"/>
        </w:rPr>
        <w:t>FBA</w:t>
      </w:r>
      <w:r>
        <w:rPr>
          <w:rFonts w:cs="Arial" w:ascii="Arial" w:hAnsi="Arial"/>
        </w:rPr>
        <w:t xml:space="preserve"> и </w:t>
      </w:r>
      <w:r>
        <w:rPr>
          <w:rFonts w:cs="Arial" w:ascii="Arial" w:hAnsi="Arial"/>
          <w:lang w:val="en-US"/>
        </w:rPr>
        <w:t>MFA</w:t>
      </w:r>
      <w:r>
        <w:rPr>
          <w:rFonts w:cs="Arial" w:ascii="Arial" w:hAnsi="Arial"/>
        </w:rPr>
        <w:t xml:space="preserve"> – условно, «теоретический» и «экспериментальный» подходы. Общие принципы.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851" w:hanging="709"/>
        <w:rPr>
          <w:rFonts w:ascii="Arial" w:hAnsi="Arial" w:cs="Arial"/>
        </w:rPr>
      </w:pPr>
      <w:r>
        <w:rPr>
          <w:rFonts w:cs="Arial" w:ascii="Arial" w:hAnsi="Arial"/>
        </w:rPr>
        <w:t>Теоретические и экспериментальные подходы к определению значений потоков, характеризующих предложенную стехиометрическую моделью Размеры моделей в различных вариантах флуксомики. В каком случае необходим учет всех возможных перестановок атомов углерода в реакциях. Понятие изотопомера.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851" w:hanging="709"/>
        <w:rPr>
          <w:rFonts w:ascii="Arial" w:hAnsi="Arial" w:cs="Arial"/>
        </w:rPr>
      </w:pPr>
      <w:r>
        <w:rPr>
          <w:rFonts w:cs="Arial" w:ascii="Arial" w:hAnsi="Arial"/>
        </w:rPr>
        <w:t xml:space="preserve">Эксперимент в </w:t>
      </w:r>
      <w:r>
        <w:rPr>
          <w:rFonts w:cs="Arial" w:ascii="Arial" w:hAnsi="Arial"/>
          <w:vertAlign w:val="superscript"/>
        </w:rPr>
        <w:t>13</w:t>
      </w:r>
      <w:r>
        <w:rPr>
          <w:rFonts w:cs="Arial" w:ascii="Arial" w:hAnsi="Arial"/>
        </w:rPr>
        <w:t>С-</w:t>
      </w:r>
      <w:r>
        <w:rPr>
          <w:rFonts w:cs="Arial" w:ascii="Arial" w:hAnsi="Arial"/>
          <w:lang w:val="en-US"/>
        </w:rPr>
        <w:t>MFA</w:t>
      </w:r>
      <w:r>
        <w:rPr>
          <w:rFonts w:cs="Arial" w:ascii="Arial" w:hAnsi="Arial"/>
        </w:rPr>
        <w:t xml:space="preserve">: ЯМР и </w:t>
      </w:r>
      <w:r>
        <w:rPr>
          <w:rFonts w:cs="Arial" w:ascii="Arial" w:hAnsi="Arial"/>
          <w:lang w:val="en-US"/>
        </w:rPr>
        <w:t>GC</w:t>
      </w:r>
      <w:r>
        <w:rPr>
          <w:rFonts w:cs="Arial" w:ascii="Arial" w:hAnsi="Arial"/>
        </w:rPr>
        <w:t>-</w:t>
      </w:r>
      <w:r>
        <w:rPr>
          <w:rFonts w:cs="Arial" w:ascii="Arial" w:hAnsi="Arial"/>
          <w:lang w:val="en-US"/>
        </w:rPr>
        <w:t>MS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lang w:val="en-US"/>
        </w:rPr>
        <w:t>LC</w:t>
      </w:r>
      <w:r>
        <w:rPr>
          <w:rFonts w:cs="Arial" w:ascii="Arial" w:hAnsi="Arial"/>
        </w:rPr>
        <w:t>-</w:t>
      </w:r>
      <w:r>
        <w:rPr>
          <w:rFonts w:cs="Arial" w:ascii="Arial" w:hAnsi="Arial"/>
          <w:lang w:val="en-US"/>
        </w:rPr>
        <w:t>MS</w:t>
      </w:r>
      <w:r>
        <w:rPr>
          <w:rFonts w:cs="Arial" w:ascii="Arial" w:hAnsi="Arial"/>
        </w:rPr>
        <w:t>/</w:t>
      </w:r>
      <w:r>
        <w:rPr>
          <w:rFonts w:cs="Arial" w:ascii="Arial" w:hAnsi="Arial"/>
          <w:lang w:val="en-US"/>
        </w:rPr>
        <w:t>MS</w:t>
      </w:r>
      <w:r>
        <w:rPr>
          <w:rFonts w:cs="Arial" w:ascii="Arial" w:hAnsi="Arial"/>
        </w:rPr>
        <w:t>. Возможности и перспективы использования для решения стационарных задач на основе анализа АК и метаболитов.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851" w:hanging="709"/>
        <w:rPr>
          <w:rFonts w:ascii="Arial" w:hAnsi="Arial" w:cs="Arial"/>
        </w:rPr>
      </w:pPr>
      <w:r>
        <w:rPr>
          <w:rFonts w:cs="Arial" w:ascii="Arial" w:hAnsi="Arial"/>
        </w:rPr>
        <w:t xml:space="preserve">Основные принципы стационарного </w:t>
      </w:r>
      <w:r>
        <w:rPr>
          <w:rFonts w:cs="Arial" w:ascii="Arial" w:hAnsi="Arial"/>
          <w:vertAlign w:val="superscript"/>
        </w:rPr>
        <w:t>13</w:t>
      </w:r>
      <w:r>
        <w:rPr>
          <w:rFonts w:cs="Arial" w:ascii="Arial" w:hAnsi="Arial"/>
        </w:rPr>
        <w:t>С-</w:t>
      </w:r>
      <w:r>
        <w:rPr>
          <w:rFonts w:cs="Arial" w:ascii="Arial" w:hAnsi="Arial"/>
          <w:lang w:val="en-US"/>
        </w:rPr>
        <w:t>MFA</w:t>
      </w:r>
      <w:r>
        <w:rPr>
          <w:rFonts w:cs="Arial" w:ascii="Arial" w:hAnsi="Arial"/>
        </w:rPr>
        <w:t xml:space="preserve">. Стехиометрические модели метаболизма от «коровой» до «полно-геномной». Общая схема эксперимента по </w:t>
      </w:r>
      <w:r>
        <w:rPr>
          <w:rFonts w:cs="Arial" w:ascii="Arial" w:hAnsi="Arial"/>
          <w:vertAlign w:val="superscript"/>
        </w:rPr>
        <w:t>13</w:t>
      </w:r>
      <w:r>
        <w:rPr>
          <w:rFonts w:cs="Arial" w:ascii="Arial" w:hAnsi="Arial"/>
        </w:rPr>
        <w:t>С-</w:t>
      </w:r>
      <w:r>
        <w:rPr>
          <w:rFonts w:cs="Arial" w:ascii="Arial" w:hAnsi="Arial"/>
          <w:lang w:val="en-US"/>
        </w:rPr>
        <w:t>MFA</w:t>
      </w:r>
      <w:r>
        <w:rPr>
          <w:rFonts w:cs="Arial" w:ascii="Arial" w:hAnsi="Arial"/>
        </w:rPr>
        <w:t>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851" w:hanging="709"/>
        <w:rPr>
          <w:rFonts w:ascii="Arial" w:hAnsi="Arial" w:cs="Arial"/>
        </w:rPr>
      </w:pPr>
      <w:r>
        <w:rPr>
          <w:rFonts w:cs="Arial" w:ascii="Arial" w:hAnsi="Arial"/>
        </w:rPr>
        <w:t xml:space="preserve">В чем специфические особенности </w:t>
      </w:r>
      <w:r>
        <w:rPr>
          <w:rFonts w:cs="Arial" w:ascii="Arial" w:hAnsi="Arial"/>
          <w:vertAlign w:val="superscript"/>
        </w:rPr>
        <w:t>13</w:t>
      </w:r>
      <w:r>
        <w:rPr>
          <w:rFonts w:cs="Arial" w:ascii="Arial" w:hAnsi="Arial"/>
        </w:rPr>
        <w:t>С-</w:t>
      </w:r>
      <w:r>
        <w:rPr>
          <w:rFonts w:cs="Arial" w:ascii="Arial" w:hAnsi="Arial"/>
          <w:lang w:val="en-US"/>
        </w:rPr>
        <w:t>MFA</w:t>
      </w:r>
      <w:r>
        <w:rPr>
          <w:rFonts w:cs="Arial" w:ascii="Arial" w:hAnsi="Arial"/>
        </w:rPr>
        <w:t xml:space="preserve"> в случае проведения параллельных экспериментов (</w:t>
      </w:r>
      <w:r>
        <w:rPr>
          <w:rFonts w:cs="Arial" w:ascii="Arial" w:hAnsi="Arial"/>
          <w:lang w:val="en-US"/>
        </w:rPr>
        <w:t>PLE</w:t>
      </w:r>
      <w:r>
        <w:rPr>
          <w:rFonts w:cs="Arial" w:ascii="Arial" w:hAnsi="Arial"/>
        </w:rPr>
        <w:t xml:space="preserve"> вместо </w:t>
      </w:r>
      <w:r>
        <w:rPr>
          <w:rFonts w:cs="Arial" w:ascii="Arial" w:hAnsi="Arial"/>
          <w:lang w:val="en-US"/>
        </w:rPr>
        <w:t>SLE</w:t>
      </w:r>
      <w:r>
        <w:rPr>
          <w:rFonts w:cs="Arial" w:ascii="Arial" w:hAnsi="Arial"/>
        </w:rPr>
        <w:t>), различающихся меченностью исходного субстрата.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851" w:hanging="709"/>
        <w:rPr>
          <w:rFonts w:ascii="Arial" w:hAnsi="Arial" w:cs="Arial"/>
        </w:rPr>
      </w:pPr>
      <w:r>
        <w:rPr>
          <w:rFonts w:cs="Arial" w:ascii="Arial" w:hAnsi="Arial"/>
        </w:rPr>
        <w:t xml:space="preserve">Анализ статистики решения задачи потоков. Принципы использования метода Монте-Карло для установления доверительных интервалов для значений потоков 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851" w:hanging="709"/>
        <w:rPr>
          <w:rFonts w:ascii="Arial" w:hAnsi="Arial" w:cs="Arial"/>
        </w:rPr>
      </w:pPr>
      <w:r>
        <w:rPr>
          <w:rFonts w:cs="Arial" w:ascii="Arial" w:hAnsi="Arial"/>
        </w:rPr>
        <w:t xml:space="preserve">Почему Флуксомику часто рассматривают как «Вершину» всех современных Х-омных технологий. Что является результатом расчета современных </w:t>
      </w:r>
      <w:r>
        <w:rPr>
          <w:rFonts w:cs="Arial" w:ascii="Arial" w:hAnsi="Arial"/>
          <w:lang w:val="en-US"/>
        </w:rPr>
        <w:t>Fitting</w:t>
      </w:r>
      <w:r>
        <w:rPr>
          <w:rFonts w:cs="Arial" w:ascii="Arial" w:hAnsi="Arial"/>
        </w:rPr>
        <w:t xml:space="preserve"> программ в </w:t>
      </w:r>
      <w:r>
        <w:rPr>
          <w:rFonts w:cs="Arial" w:ascii="Arial" w:hAnsi="Arial"/>
          <w:vertAlign w:val="superscript"/>
        </w:rPr>
        <w:t>13</w:t>
      </w:r>
      <w:r>
        <w:rPr>
          <w:rFonts w:cs="Arial" w:ascii="Arial" w:hAnsi="Arial"/>
        </w:rPr>
        <w:t>С-</w:t>
      </w:r>
      <w:r>
        <w:rPr>
          <w:rFonts w:cs="Arial" w:ascii="Arial" w:hAnsi="Arial"/>
          <w:lang w:val="en-US"/>
        </w:rPr>
        <w:t>MFA</w:t>
      </w:r>
      <w:r>
        <w:rPr>
          <w:rFonts w:cs="Arial" w:ascii="Arial" w:hAnsi="Arial"/>
        </w:rPr>
        <w:t>, что дает расчет дизайна эксперимента, доверительных интервалов для значений потоков?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851" w:hanging="709"/>
        <w:rPr>
          <w:rFonts w:ascii="Arial" w:hAnsi="Arial" w:cs="Arial"/>
        </w:rPr>
      </w:pPr>
      <w:r>
        <w:rPr>
          <w:rFonts w:cs="Arial" w:ascii="Arial" w:hAnsi="Arial"/>
        </w:rPr>
        <w:t xml:space="preserve">Успешные примеры использования </w:t>
      </w:r>
      <w:r>
        <w:rPr>
          <w:rFonts w:cs="Arial" w:ascii="Arial" w:hAnsi="Arial"/>
          <w:vertAlign w:val="superscript"/>
        </w:rPr>
        <w:t>13</w:t>
      </w:r>
      <w:r>
        <w:rPr>
          <w:rFonts w:cs="Arial" w:ascii="Arial" w:hAnsi="Arial"/>
        </w:rPr>
        <w:t>С-</w:t>
      </w:r>
      <w:r>
        <w:rPr>
          <w:rFonts w:cs="Arial" w:ascii="Arial" w:hAnsi="Arial"/>
          <w:lang w:val="en-US"/>
        </w:rPr>
        <w:t>MFA</w:t>
      </w:r>
      <w:r>
        <w:rPr>
          <w:rFonts w:cs="Arial" w:ascii="Arial" w:hAnsi="Arial"/>
        </w:rPr>
        <w:t xml:space="preserve"> в современной метаболической инженерии.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851" w:hanging="709"/>
        <w:rPr>
          <w:rFonts w:ascii="Arial" w:hAnsi="Arial" w:cs="Arial"/>
        </w:rPr>
      </w:pPr>
      <w:r>
        <w:rPr>
          <w:rFonts w:cs="Arial" w:ascii="Arial" w:hAnsi="Arial"/>
        </w:rPr>
        <w:t>Системная биология – определение понятия и методы исследования. Примеры использования методов системной биологии в современной МИ (как минимум по одному примеру исследований по МИ, в которых основа стратегии или доказательность результатов опиралась на информацию, полученную одной из Х-омных технологий).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851" w:hanging="709"/>
        <w:rPr>
          <w:rFonts w:ascii="Arial" w:hAnsi="Arial" w:cs="Arial"/>
        </w:rPr>
      </w:pPr>
      <w:r>
        <w:rPr>
          <w:rFonts w:cs="Arial" w:ascii="Arial" w:hAnsi="Arial"/>
        </w:rPr>
        <w:t>Какова принципиальная стратегия проведения экспериментов по МИ. Приведите примеры применения различных стратегий.</w:t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51" w:leader="none"/>
        </w:tabs>
        <w:ind w:left="851" w:hanging="709"/>
        <w:rPr>
          <w:rFonts w:ascii="Arial" w:hAnsi="Arial" w:cs="Arial"/>
        </w:rPr>
      </w:pPr>
      <w:r>
        <w:rPr>
          <w:rFonts w:cs="Arial" w:ascii="Arial" w:hAnsi="Arial"/>
        </w:rPr>
        <w:t>Что такое ортогональная экспрессия генов, «ключевые игроки» этой системы и в чем отличие ортогональной от альтернативной системы экспрессии.</w:t>
      </w:r>
    </w:p>
    <w:p>
      <w:pPr>
        <w:pStyle w:val="Normal"/>
        <w:numPr>
          <w:ilvl w:val="0"/>
          <w:numId w:val="1"/>
        </w:numPr>
        <w:ind w:left="851" w:hanging="709"/>
        <w:rPr>
          <w:rFonts w:ascii="Arial" w:hAnsi="Arial" w:cs="Arial"/>
        </w:rPr>
      </w:pPr>
      <w:r>
        <w:rPr>
          <w:rFonts w:cs="Arial" w:ascii="Arial" w:hAnsi="Arial"/>
        </w:rPr>
        <w:t xml:space="preserve">Успешные примеры изменения регуляции генов в МИ методами синтетической биологии. </w:t>
      </w:r>
      <w:r>
        <w:rPr>
          <w:rFonts w:cs="Arial" w:ascii="Arial" w:hAnsi="Arial"/>
          <w:lang w:val="en-US"/>
        </w:rPr>
        <w:t>Metabolic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grafting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lang w:val="en-US"/>
        </w:rPr>
        <w:t>Retrosynthesis</w:t>
      </w:r>
      <w:r>
        <w:rPr>
          <w:rFonts w:cs="Arial" w:ascii="Arial" w:hAnsi="Arial"/>
        </w:rPr>
        <w:t xml:space="preserve">. Примеры разработки и использования статических и динамических стратегий процессов в МИ; достоинства динамических подходов, основанных на </w:t>
      </w:r>
      <w:r>
        <w:rPr>
          <w:rFonts w:cs="Arial" w:ascii="Arial" w:hAnsi="Arial"/>
          <w:lang w:val="en-US"/>
        </w:rPr>
        <w:t>Metabolic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Control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lang w:val="en-US"/>
        </w:rPr>
        <w:t>Engineering</w:t>
      </w:r>
      <w:r>
        <w:rPr>
          <w:rFonts w:cs="Arial" w:ascii="Arial" w:hAnsi="Arial"/>
        </w:rPr>
        <w:t>.</w:t>
      </w:r>
    </w:p>
    <w:p>
      <w:pPr>
        <w:pStyle w:val="Normal"/>
        <w:numPr>
          <w:ilvl w:val="0"/>
          <w:numId w:val="1"/>
        </w:numPr>
        <w:ind w:left="851" w:hanging="709"/>
        <w:rPr>
          <w:rFonts w:ascii="Arial" w:hAnsi="Arial" w:cs="Arial"/>
          <w:sz w:val="24"/>
          <w:szCs w:val="24"/>
        </w:rPr>
      </w:pPr>
      <w:r>
        <w:rPr>
          <w:rFonts w:eastAsia="Arial" w:cs="Arial" w:ascii="Arial" w:hAnsi="Arial"/>
          <w:color w:val="202124"/>
          <w:sz w:val="24"/>
          <w:szCs w:val="24"/>
          <w:highlight w:val="white"/>
        </w:rPr>
        <w:t xml:space="preserve">Позитивные примеры организации искусственных «скаффолдов», использование природной и организация искусственной компартментализации для реализации туннелирования субстратов по </w:t>
      </w:r>
      <w:r>
        <w:rPr>
          <w:rFonts w:eastAsia="Arial" w:cs="Arial" w:ascii="Arial" w:hAnsi="Arial"/>
          <w:color w:val="202124"/>
          <w:sz w:val="24"/>
          <w:szCs w:val="24"/>
          <w:highlight w:val="white"/>
          <w:lang w:val="en-US"/>
        </w:rPr>
        <w:t>targeted</w:t>
      </w:r>
      <w:r>
        <w:rPr>
          <w:rFonts w:eastAsia="Arial" w:cs="Arial" w:ascii="Arial" w:hAnsi="Arial"/>
          <w:color w:val="202124"/>
          <w:sz w:val="24"/>
          <w:szCs w:val="24"/>
          <w:highlight w:val="white"/>
        </w:rPr>
        <w:t xml:space="preserve"> </w:t>
      </w:r>
      <w:r>
        <w:rPr>
          <w:rFonts w:eastAsia="Arial" w:cs="Arial" w:ascii="Arial" w:hAnsi="Arial"/>
          <w:color w:val="202124"/>
          <w:sz w:val="24"/>
          <w:szCs w:val="24"/>
          <w:highlight w:val="white"/>
          <w:lang w:val="en-US"/>
        </w:rPr>
        <w:t>pathway</w:t>
      </w:r>
      <w:r>
        <w:rPr>
          <w:rFonts w:eastAsia="Arial" w:cs="Arial" w:ascii="Arial" w:hAnsi="Arial"/>
          <w:color w:val="202124"/>
          <w:sz w:val="24"/>
          <w:szCs w:val="24"/>
          <w:highlight w:val="white"/>
        </w:rPr>
        <w:t xml:space="preserve"> в экспериментах по МИ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Nunito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Nunito" w:hAnsi="Nunito" w:eastAsia="Nunito" w:cs="Nunito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uiPriority="99" w:semiHidden="1" w:unhideWhenUsed="1"/>
    <w:lsdException w:name="HTML Bottom of Form" w:uiPriority="99" w:semiHidden="1" w:unhideWhenUsed="1"/>
    <w:lsdException w:name="Normal Table" w:semiHidden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 w:unhideWhenUsed="1"/>
    <w:lsdException w:name="List Paragraph" w:uiPriority="99" w:semiHidden="1" w:unhideWhenUsed="1"/>
    <w:lsdException w:name="Quote" w:uiPriority="99" w:semiHidden="1" w:unhideWhenUsed="1"/>
    <w:lsdException w:name="Intense Quote" w:uiPriority="99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51146"/>
    <w:pPr>
      <w:widowControl/>
      <w:bidi w:val="0"/>
      <w:spacing w:before="0" w:after="0"/>
      <w:jc w:val="both"/>
    </w:pPr>
    <w:rPr>
      <w:rFonts w:ascii="Nunito" w:hAnsi="Nunito" w:eastAsia="Nunito" w:cs="Nunito"/>
      <w:color w:val="auto"/>
      <w:kern w:val="0"/>
      <w:sz w:val="24"/>
      <w:szCs w:val="24"/>
      <w:lang w:val="ru-RU" w:eastAsia="ru-RU" w:bidi="ar-SA"/>
    </w:rPr>
  </w:style>
  <w:style w:type="paragraph" w:styleId="Heading1">
    <w:name w:val="Heading 1"/>
    <w:basedOn w:val="Normal"/>
    <w:next w:val="Normal"/>
    <w:qFormat/>
    <w:rsid w:val="00451146"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rsid w:val="00451146"/>
    <w:pPr>
      <w:keepNext w:val="true"/>
      <w:keepLines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qFormat/>
    <w:rsid w:val="00451146"/>
    <w:pPr>
      <w:keepNext w:val="true"/>
      <w:keepLine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451146"/>
    <w:pPr>
      <w:keepNext w:val="true"/>
      <w:keepLines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51146"/>
    <w:pPr>
      <w:keepNext w:val="true"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qFormat/>
    <w:rsid w:val="00451146"/>
    <w:pPr>
      <w:keepNext w:val="true"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rsid w:val="009e00a1"/>
    <w:rPr>
      <w:color w:val="0000FF" w:themeColor="hyperlink"/>
      <w:u w:val="single"/>
    </w:rPr>
  </w:style>
  <w:style w:type="character" w:styleId="Style8" w:customStyle="1">
    <w:name w:val="Текст выноски Знак"/>
    <w:basedOn w:val="DefaultParagraphFont"/>
    <w:link w:val="a6"/>
    <w:qFormat/>
    <w:rsid w:val="008f07a9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ubtitle">
    <w:name w:val="Subtitle"/>
    <w:basedOn w:val="Normal"/>
    <w:next w:val="Normal"/>
    <w:qFormat/>
    <w:rsid w:val="00451146"/>
    <w:pPr>
      <w:keepNext w:val="true"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Title">
    <w:name w:val="Title"/>
    <w:basedOn w:val="Normal"/>
    <w:next w:val="Normal"/>
    <w:qFormat/>
    <w:rsid w:val="00451146"/>
    <w:pPr>
      <w:keepNext w:val="true"/>
      <w:keepLines/>
      <w:spacing w:before="0" w:after="60"/>
    </w:pPr>
    <w:rPr>
      <w:sz w:val="52"/>
      <w:szCs w:val="52"/>
    </w:rPr>
  </w:style>
  <w:style w:type="paragraph" w:styleId="BalloonText">
    <w:name w:val="Balloon Text"/>
    <w:basedOn w:val="Normal"/>
    <w:link w:val="a7"/>
    <w:qFormat/>
    <w:rsid w:val="008f07a9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unhideWhenUsed/>
    <w:qFormat/>
    <w:rsid w:val="00bf18ef"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45114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Application>LibreOffice/6.4.7.2$Linux_X86_64 LibreOffice_project/40$Build-2</Application>
  <Pages>3</Pages>
  <Words>695</Words>
  <Characters>5310</Characters>
  <CharactersWithSpaces>5952</CharactersWithSpaces>
  <Paragraphs>35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2022-09-01T13:01:00Z</dcterms:created>
  <dc:creator>User</dc:creator>
  <dc:description/>
  <dc:language>en-US</dc:language>
  <cp:lastModifiedBy/>
  <dcterms:modified xsi:type="dcterms:W3CDTF">2022-09-02T16:40:43Z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CV">
    <vt:lpwstr>E7790C39200A48DDACC8BF08CB0C3198</vt:lpwstr>
  </property>
  <property fmtid="{D5CDD505-2E9C-101B-9397-08002B2CF9AE}" pid="7" name="KSOProductBuildVer">
    <vt:lpwstr>1033-11.2.0.11254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